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84" w:rsidRDefault="00DA1E84" w:rsidP="00DA1E84">
      <w:pPr>
        <w:rPr>
          <w:rFonts w:ascii="標楷體" w:eastAsia="標楷體" w:hAnsi="標楷體"/>
          <w:color w:val="000000"/>
          <w:sz w:val="40"/>
          <w:szCs w:val="40"/>
        </w:rPr>
      </w:pPr>
      <w:r w:rsidRPr="000D72D2">
        <w:rPr>
          <w:rFonts w:ascii="標楷體" w:eastAsia="標楷體" w:hAnsi="標楷體" w:hint="eastAsia"/>
          <w:bCs/>
          <w:color w:val="000000"/>
          <w:sz w:val="40"/>
          <w:szCs w:val="40"/>
        </w:rPr>
        <w:t>臺中市政府全球資訊網維運工作小組設置要點</w:t>
      </w:r>
      <w:r w:rsidRPr="007D15FA">
        <w:rPr>
          <w:rFonts w:ascii="標楷體" w:eastAsia="標楷體" w:hAnsi="標楷體" w:hint="eastAsia"/>
          <w:color w:val="000000"/>
          <w:sz w:val="40"/>
          <w:szCs w:val="40"/>
        </w:rPr>
        <w:t>停止適用總說明</w:t>
      </w:r>
    </w:p>
    <w:p w:rsidR="00DA1E84" w:rsidRPr="000D72D2" w:rsidRDefault="00DA1E84" w:rsidP="00DA1E84">
      <w:pPr>
        <w:numPr>
          <w:ilvl w:val="0"/>
          <w:numId w:val="10"/>
        </w:numPr>
        <w:spacing w:line="460" w:lineRule="exact"/>
        <w:ind w:left="709" w:hanging="709"/>
        <w:jc w:val="both"/>
        <w:rPr>
          <w:rFonts w:ascii="Calibri" w:eastAsia="標楷體" w:hAnsi="標楷體"/>
          <w:color w:val="000000"/>
          <w:sz w:val="28"/>
          <w:szCs w:val="28"/>
        </w:rPr>
      </w:pPr>
      <w:r w:rsidRPr="000D72D2">
        <w:rPr>
          <w:rFonts w:ascii="Calibri" w:eastAsia="標楷體" w:hAnsi="標楷體" w:hint="eastAsia"/>
          <w:color w:val="000000"/>
          <w:sz w:val="28"/>
          <w:szCs w:val="28"/>
        </w:rPr>
        <w:t>本要點訂定原意為臺中市政府為提升本府便民服務效率及服務品質，加強資訊流通及溝通之管道，鼓勵各機關重視並積極推動網站內容之更新、充實、維運及應用。</w:t>
      </w:r>
    </w:p>
    <w:p w:rsidR="00DA1E84" w:rsidRDefault="00DA1E84" w:rsidP="00DA1E84">
      <w:pPr>
        <w:numPr>
          <w:ilvl w:val="0"/>
          <w:numId w:val="10"/>
        </w:numPr>
        <w:spacing w:line="460" w:lineRule="exact"/>
        <w:ind w:left="709" w:hanging="682"/>
        <w:jc w:val="both"/>
        <w:rPr>
          <w:rFonts w:ascii="Calibri" w:eastAsia="標楷體" w:hAnsi="標楷體"/>
          <w:bCs/>
          <w:color w:val="000000"/>
          <w:sz w:val="28"/>
          <w:szCs w:val="28"/>
        </w:rPr>
      </w:pPr>
      <w:r w:rsidRPr="000D72D2">
        <w:rPr>
          <w:rFonts w:ascii="Calibri" w:eastAsia="標楷體" w:hAnsi="標楷體" w:hint="eastAsia"/>
          <w:color w:val="000000"/>
          <w:sz w:val="28"/>
          <w:szCs w:val="28"/>
        </w:rPr>
        <w:t>為推動本府資訊化業務及統合本市智慧城市相關政策，本府資訊業務任務分組將整合為「臺中市政府智慧創新推動委員會」，舊有設置要點爰依據臺中市行政規則準則第十一條第三款規定辦理停止適用</w:t>
      </w:r>
      <w:r w:rsidRPr="00EE61E9">
        <w:rPr>
          <w:rFonts w:ascii="Calibri" w:eastAsia="標楷體" w:hAnsi="標楷體" w:hint="eastAsia"/>
          <w:color w:val="000000"/>
          <w:sz w:val="28"/>
          <w:szCs w:val="28"/>
        </w:rPr>
        <w:t>。</w:t>
      </w:r>
    </w:p>
    <w:p w:rsidR="001D3DAB" w:rsidRDefault="001D3DAB">
      <w:pPr>
        <w:widowControl/>
        <w:rPr>
          <w:rFonts w:ascii="標楷體" w:eastAsia="標楷體" w:hAnsi="標楷體"/>
          <w:color w:val="000000"/>
          <w:sz w:val="40"/>
          <w:szCs w:val="40"/>
        </w:rPr>
      </w:pPr>
      <w:r>
        <w:rPr>
          <w:rFonts w:ascii="標楷體" w:eastAsia="標楷體" w:hAnsi="標楷體"/>
          <w:color w:val="000000"/>
          <w:sz w:val="40"/>
          <w:szCs w:val="40"/>
        </w:rPr>
        <w:br w:type="page"/>
      </w:r>
    </w:p>
    <w:p w:rsidR="00490336" w:rsidRPr="00EE61E9" w:rsidRDefault="00490336" w:rsidP="00490336">
      <w:pPr>
        <w:ind w:left="28"/>
        <w:rPr>
          <w:rFonts w:ascii="Calibri" w:eastAsia="標楷體" w:hAnsi="標楷體"/>
          <w:bCs/>
          <w:color w:val="000000"/>
          <w:sz w:val="40"/>
          <w:szCs w:val="40"/>
        </w:rPr>
      </w:pPr>
      <w:r w:rsidRPr="00EE61E9">
        <w:rPr>
          <w:rFonts w:ascii="標楷體" w:eastAsia="標楷體" w:hAnsi="標楷體"/>
          <w:color w:val="000000"/>
          <w:sz w:val="40"/>
          <w:szCs w:val="40"/>
        </w:rPr>
        <w:lastRenderedPageBreak/>
        <w:t>停止適用規定</w:t>
      </w:r>
      <w:r w:rsidRPr="00EE61E9">
        <w:rPr>
          <w:rFonts w:ascii="標楷體" w:eastAsia="標楷體" w:hAnsi="標楷體" w:hint="eastAsia"/>
          <w:color w:val="000000"/>
          <w:sz w:val="40"/>
          <w:szCs w:val="40"/>
        </w:rPr>
        <w:t>整理表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4395"/>
      </w:tblGrid>
      <w:tr w:rsidR="008A5187" w:rsidRPr="006E41A6" w:rsidTr="00DB0428">
        <w:tc>
          <w:tcPr>
            <w:tcW w:w="1985" w:type="dxa"/>
          </w:tcPr>
          <w:p w:rsidR="008A5187" w:rsidRPr="007D15FA" w:rsidRDefault="008A5187" w:rsidP="008A5187">
            <w:pPr>
              <w:jc w:val="both"/>
              <w:rPr>
                <w:rFonts w:ascii="標楷體" w:eastAsia="標楷體" w:hAnsi="標楷體"/>
                <w:color w:val="000000"/>
                <w:szCs w:val="24"/>
              </w:rPr>
            </w:pPr>
            <w:r w:rsidRPr="007D15FA">
              <w:rPr>
                <w:rFonts w:ascii="標楷體" w:eastAsia="標楷體" w:hAnsi="標楷體" w:hint="eastAsia"/>
                <w:color w:val="000000"/>
                <w:szCs w:val="24"/>
              </w:rPr>
              <w:t>規定名稱</w:t>
            </w:r>
          </w:p>
        </w:tc>
        <w:tc>
          <w:tcPr>
            <w:tcW w:w="2126" w:type="dxa"/>
          </w:tcPr>
          <w:p w:rsidR="008A5187" w:rsidRPr="007D15FA" w:rsidRDefault="008A5187" w:rsidP="008A5187">
            <w:pPr>
              <w:jc w:val="both"/>
              <w:rPr>
                <w:rFonts w:ascii="標楷體" w:eastAsia="標楷體" w:hAnsi="標楷體"/>
                <w:color w:val="000000"/>
                <w:szCs w:val="24"/>
              </w:rPr>
            </w:pPr>
            <w:r w:rsidRPr="007D15FA">
              <w:rPr>
                <w:rFonts w:ascii="標楷體" w:eastAsia="標楷體" w:hAnsi="標楷體" w:hint="eastAsia"/>
                <w:color w:val="000000"/>
                <w:szCs w:val="24"/>
              </w:rPr>
              <w:t>下達日期文號</w:t>
            </w:r>
          </w:p>
        </w:tc>
        <w:tc>
          <w:tcPr>
            <w:tcW w:w="4395" w:type="dxa"/>
          </w:tcPr>
          <w:p w:rsidR="008A5187" w:rsidRPr="007D15FA" w:rsidRDefault="008A5187" w:rsidP="008A5187">
            <w:pPr>
              <w:jc w:val="both"/>
              <w:rPr>
                <w:rFonts w:ascii="標楷體" w:eastAsia="標楷體" w:hAnsi="標楷體"/>
                <w:color w:val="000000"/>
                <w:szCs w:val="24"/>
              </w:rPr>
            </w:pPr>
            <w:r w:rsidRPr="007D15FA">
              <w:rPr>
                <w:rFonts w:ascii="標楷體" w:eastAsia="標楷體" w:hAnsi="標楷體" w:hint="eastAsia"/>
                <w:color w:val="000000"/>
                <w:szCs w:val="24"/>
              </w:rPr>
              <w:t>停止適用理由</w:t>
            </w:r>
          </w:p>
        </w:tc>
      </w:tr>
      <w:tr w:rsidR="008A5187" w:rsidRPr="006E41A6" w:rsidTr="00DB0428">
        <w:tc>
          <w:tcPr>
            <w:tcW w:w="1985" w:type="dxa"/>
          </w:tcPr>
          <w:p w:rsidR="008A5187" w:rsidRPr="007D15FA" w:rsidRDefault="008A5187" w:rsidP="008A5187">
            <w:pPr>
              <w:jc w:val="both"/>
              <w:rPr>
                <w:rFonts w:ascii="標楷體" w:eastAsia="標楷體" w:hAnsi="標楷體"/>
                <w:color w:val="000000"/>
                <w:szCs w:val="24"/>
              </w:rPr>
            </w:pPr>
            <w:r w:rsidRPr="007D15FA">
              <w:rPr>
                <w:rFonts w:ascii="標楷體" w:eastAsia="標楷體" w:hAnsi="標楷體" w:hint="eastAsia"/>
                <w:color w:val="000000"/>
                <w:szCs w:val="24"/>
              </w:rPr>
              <w:t>臺中市政府全球資訊網維運工作小組設置要點</w:t>
            </w:r>
          </w:p>
        </w:tc>
        <w:tc>
          <w:tcPr>
            <w:tcW w:w="2126" w:type="dxa"/>
          </w:tcPr>
          <w:p w:rsidR="008A5187" w:rsidRPr="007D15FA" w:rsidRDefault="008A5187" w:rsidP="008A5187">
            <w:pPr>
              <w:numPr>
                <w:ilvl w:val="0"/>
                <w:numId w:val="11"/>
              </w:numPr>
              <w:jc w:val="both"/>
              <w:rPr>
                <w:rFonts w:ascii="標楷體" w:eastAsia="標楷體" w:hAnsi="標楷體"/>
                <w:color w:val="000000"/>
                <w:szCs w:val="24"/>
              </w:rPr>
            </w:pPr>
            <w:r w:rsidRPr="007D15FA">
              <w:rPr>
                <w:rFonts w:ascii="標楷體" w:eastAsia="標楷體" w:hAnsi="標楷體" w:hint="eastAsia"/>
                <w:color w:val="000000"/>
                <w:szCs w:val="24"/>
              </w:rPr>
              <w:t>中華民國100年7月8日府授資服字第1000129880號函訂定</w:t>
            </w:r>
          </w:p>
          <w:p w:rsidR="008A5187" w:rsidRPr="007D15FA" w:rsidRDefault="008A5187" w:rsidP="008A5187">
            <w:pPr>
              <w:numPr>
                <w:ilvl w:val="0"/>
                <w:numId w:val="11"/>
              </w:numPr>
              <w:jc w:val="both"/>
              <w:rPr>
                <w:rFonts w:ascii="標楷體" w:eastAsia="標楷體" w:hAnsi="標楷體"/>
                <w:color w:val="000000"/>
                <w:szCs w:val="24"/>
              </w:rPr>
            </w:pPr>
            <w:r w:rsidRPr="007D15FA">
              <w:rPr>
                <w:rFonts w:ascii="標楷體" w:eastAsia="標楷體" w:hAnsi="標楷體" w:hint="eastAsia"/>
                <w:color w:val="000000"/>
                <w:szCs w:val="24"/>
              </w:rPr>
              <w:t>中華民國101年12月21日府授人企字第1010228916號函修正</w:t>
            </w:r>
          </w:p>
          <w:p w:rsidR="008A5187" w:rsidRPr="007D15FA" w:rsidRDefault="008A5187" w:rsidP="008A5187">
            <w:pPr>
              <w:numPr>
                <w:ilvl w:val="0"/>
                <w:numId w:val="11"/>
              </w:numPr>
              <w:jc w:val="both"/>
              <w:rPr>
                <w:rFonts w:ascii="標楷體" w:eastAsia="標楷體" w:hAnsi="標楷體"/>
                <w:color w:val="000000"/>
                <w:szCs w:val="24"/>
              </w:rPr>
            </w:pPr>
            <w:r w:rsidRPr="007D15FA">
              <w:rPr>
                <w:rFonts w:ascii="標楷體" w:eastAsia="標楷體" w:hAnsi="標楷體" w:hint="eastAsia"/>
                <w:color w:val="000000"/>
                <w:szCs w:val="24"/>
              </w:rPr>
              <w:t>中華民國106年9月26日府授人企字第1060211615號函修正</w:t>
            </w:r>
          </w:p>
        </w:tc>
        <w:tc>
          <w:tcPr>
            <w:tcW w:w="4395" w:type="dxa"/>
          </w:tcPr>
          <w:p w:rsidR="008A5187" w:rsidRPr="007D15FA" w:rsidRDefault="008A5187" w:rsidP="008A5187">
            <w:pPr>
              <w:numPr>
                <w:ilvl w:val="0"/>
                <w:numId w:val="12"/>
              </w:numPr>
              <w:ind w:left="514" w:hanging="514"/>
              <w:jc w:val="both"/>
              <w:rPr>
                <w:rFonts w:ascii="標楷體" w:eastAsia="標楷體" w:hAnsi="標楷體"/>
                <w:color w:val="000000"/>
                <w:szCs w:val="24"/>
              </w:rPr>
            </w:pPr>
            <w:r w:rsidRPr="007D15FA">
              <w:rPr>
                <w:rFonts w:ascii="標楷體" w:eastAsia="標楷體" w:hAnsi="標楷體" w:hint="eastAsia"/>
                <w:color w:val="000000"/>
                <w:szCs w:val="24"/>
              </w:rPr>
              <w:t>本要點訂定原意為臺中市政府為提升本府便民服務效率及服務品質，加強資訊流通及溝通之管道，鼓勵各機關重視並積極推動網站內容之更新、充實、維運及應用。</w:t>
            </w:r>
          </w:p>
          <w:p w:rsidR="008A5187" w:rsidRDefault="008A5187" w:rsidP="008A5187">
            <w:pPr>
              <w:numPr>
                <w:ilvl w:val="0"/>
                <w:numId w:val="12"/>
              </w:numPr>
              <w:ind w:left="514" w:hanging="514"/>
              <w:jc w:val="both"/>
              <w:rPr>
                <w:rFonts w:ascii="標楷體" w:eastAsia="標楷體" w:hAnsi="標楷體"/>
                <w:color w:val="000000"/>
                <w:szCs w:val="24"/>
              </w:rPr>
            </w:pPr>
            <w:r w:rsidRPr="007D15FA">
              <w:rPr>
                <w:rFonts w:ascii="標楷體" w:eastAsia="標楷體" w:hAnsi="標楷體" w:hint="eastAsia"/>
                <w:color w:val="000000"/>
                <w:szCs w:val="24"/>
              </w:rPr>
              <w:t>為推動本府資訊化業務及統合本市智慧城市相關政策，本府資訊業務任務分組將整合為「臺中市政府智慧創新推動委員會」，舊有設置要點爰依據臺中市行政規則準則</w:t>
            </w:r>
            <w:r>
              <w:rPr>
                <w:rFonts w:ascii="標楷體" w:eastAsia="標楷體" w:hAnsi="標楷體" w:hint="eastAsia"/>
                <w:color w:val="000000"/>
                <w:szCs w:val="24"/>
              </w:rPr>
              <w:t>第十一條</w:t>
            </w:r>
            <w:r w:rsidRPr="007D15FA">
              <w:rPr>
                <w:rFonts w:ascii="標楷體" w:eastAsia="標楷體" w:hAnsi="標楷體" w:hint="eastAsia"/>
                <w:color w:val="000000"/>
                <w:szCs w:val="24"/>
              </w:rPr>
              <w:t>第三款規定辦理停止適用。</w:t>
            </w:r>
          </w:p>
          <w:p w:rsidR="008A5187" w:rsidRPr="007D15FA" w:rsidRDefault="008A5187" w:rsidP="008A5187">
            <w:pPr>
              <w:numPr>
                <w:ilvl w:val="0"/>
                <w:numId w:val="12"/>
              </w:numPr>
              <w:ind w:left="514" w:hanging="514"/>
              <w:jc w:val="both"/>
              <w:rPr>
                <w:rFonts w:ascii="標楷體" w:eastAsia="標楷體" w:hAnsi="標楷體"/>
                <w:color w:val="000000"/>
                <w:szCs w:val="24"/>
              </w:rPr>
            </w:pPr>
            <w:r w:rsidRPr="00EE61E9">
              <w:rPr>
                <w:rFonts w:ascii="標楷體" w:eastAsia="標楷體" w:hAnsi="標楷體" w:hint="eastAsia"/>
                <w:color w:val="000000"/>
                <w:szCs w:val="24"/>
              </w:rPr>
              <w:t>檢附「臺中市政府全球資訊網維運工作小組設置要點」。</w:t>
            </w:r>
          </w:p>
        </w:tc>
      </w:tr>
    </w:tbl>
    <w:p w:rsidR="00490336" w:rsidRDefault="00490336" w:rsidP="00490336">
      <w:pPr>
        <w:jc w:val="both"/>
      </w:pPr>
    </w:p>
    <w:p w:rsidR="00490336" w:rsidRDefault="00490336">
      <w:pPr>
        <w:widowControl/>
      </w:pPr>
      <w:r>
        <w:br w:type="page"/>
      </w:r>
    </w:p>
    <w:p w:rsidR="008A5187" w:rsidRDefault="008A5187" w:rsidP="008A5187">
      <w:pPr>
        <w:spacing w:line="460" w:lineRule="exact"/>
        <w:rPr>
          <w:rFonts w:ascii="標楷體" w:eastAsia="標楷體" w:hAnsi="標楷體"/>
          <w:sz w:val="40"/>
          <w:szCs w:val="40"/>
        </w:rPr>
      </w:pPr>
      <w:r w:rsidRPr="007C1502">
        <w:rPr>
          <w:rFonts w:ascii="標楷體" w:eastAsia="標楷體" w:hAnsi="標楷體"/>
          <w:sz w:val="40"/>
          <w:szCs w:val="40"/>
        </w:rPr>
        <w:lastRenderedPageBreak/>
        <w:t>臺中市政府全球資訊網維運工作小組</w:t>
      </w:r>
      <w:r w:rsidRPr="007C1502">
        <w:rPr>
          <w:rFonts w:ascii="標楷體" w:eastAsia="標楷體" w:hAnsi="標楷體" w:hint="eastAsia"/>
          <w:sz w:val="40"/>
          <w:szCs w:val="40"/>
        </w:rPr>
        <w:t>設置要點</w:t>
      </w:r>
    </w:p>
    <w:p w:rsidR="008A5187" w:rsidRPr="005D065D" w:rsidRDefault="008A5187" w:rsidP="008A5187">
      <w:pPr>
        <w:kinsoku w:val="0"/>
        <w:overflowPunct w:val="0"/>
        <w:spacing w:line="360" w:lineRule="exact"/>
        <w:jc w:val="right"/>
        <w:rPr>
          <w:rFonts w:eastAsia="標楷體"/>
          <w:b/>
          <w:color w:val="000000"/>
          <w:szCs w:val="24"/>
        </w:rPr>
      </w:pPr>
      <w:bookmarkStart w:id="0" w:name="_GoBack"/>
      <w:r w:rsidRPr="005D065D">
        <w:rPr>
          <w:rFonts w:ascii="標楷體" w:eastAsia="標楷體" w:hAnsi="標楷體" w:hint="eastAsia"/>
          <w:szCs w:val="24"/>
        </w:rPr>
        <w:t>中華民國100年7月8日府授資服字第</w:t>
      </w:r>
      <w:r w:rsidRPr="005D065D">
        <w:rPr>
          <w:rFonts w:ascii="標楷體" w:eastAsia="標楷體" w:hAnsi="標楷體"/>
          <w:szCs w:val="24"/>
        </w:rPr>
        <w:t>10</w:t>
      </w:r>
      <w:r w:rsidRPr="005D065D">
        <w:rPr>
          <w:rFonts w:ascii="標楷體" w:eastAsia="標楷體" w:hAnsi="標楷體" w:hint="eastAsia"/>
          <w:szCs w:val="24"/>
        </w:rPr>
        <w:t>00129880號函訂定</w:t>
      </w:r>
    </w:p>
    <w:p w:rsidR="008A5187" w:rsidRPr="005D065D" w:rsidRDefault="008A5187" w:rsidP="008A5187">
      <w:pPr>
        <w:kinsoku w:val="0"/>
        <w:overflowPunct w:val="0"/>
        <w:spacing w:line="360" w:lineRule="exact"/>
        <w:jc w:val="right"/>
        <w:rPr>
          <w:rFonts w:eastAsia="標楷體"/>
          <w:b/>
          <w:color w:val="000000"/>
          <w:szCs w:val="24"/>
        </w:rPr>
      </w:pPr>
      <w:r w:rsidRPr="005D065D">
        <w:rPr>
          <w:rFonts w:ascii="標楷體" w:eastAsia="標楷體" w:hAnsi="標楷體" w:hint="eastAsia"/>
          <w:szCs w:val="24"/>
        </w:rPr>
        <w:t>中華民國101年12月21日府授人企字第</w:t>
      </w:r>
      <w:r w:rsidRPr="005D065D">
        <w:rPr>
          <w:rFonts w:ascii="標楷體" w:eastAsia="標楷體" w:hAnsi="標楷體"/>
          <w:szCs w:val="24"/>
        </w:rPr>
        <w:t>1010228916</w:t>
      </w:r>
      <w:r w:rsidRPr="005D065D">
        <w:rPr>
          <w:rFonts w:ascii="標楷體" w:eastAsia="標楷體" w:hAnsi="標楷體" w:hint="eastAsia"/>
          <w:szCs w:val="24"/>
        </w:rPr>
        <w:t>號函修正</w:t>
      </w:r>
    </w:p>
    <w:p w:rsidR="008A5187" w:rsidRPr="005D065D" w:rsidRDefault="008A5187" w:rsidP="008A5187">
      <w:pPr>
        <w:kinsoku w:val="0"/>
        <w:overflowPunct w:val="0"/>
        <w:spacing w:line="360" w:lineRule="exact"/>
        <w:jc w:val="right"/>
        <w:rPr>
          <w:rFonts w:ascii="標楷體" w:eastAsia="標楷體" w:hAnsi="標楷體"/>
          <w:szCs w:val="24"/>
        </w:rPr>
      </w:pPr>
      <w:r w:rsidRPr="005D065D">
        <w:rPr>
          <w:rFonts w:ascii="標楷體" w:eastAsia="標楷體" w:hAnsi="標楷體" w:hint="eastAsia"/>
          <w:szCs w:val="24"/>
        </w:rPr>
        <w:t>中華民國106年9月26日府授人企字第</w:t>
      </w:r>
      <w:r w:rsidRPr="005D065D">
        <w:rPr>
          <w:rFonts w:ascii="標楷體" w:eastAsia="標楷體" w:hAnsi="標楷體"/>
          <w:szCs w:val="24"/>
        </w:rPr>
        <w:t>10</w:t>
      </w:r>
      <w:r w:rsidRPr="005D065D">
        <w:rPr>
          <w:rFonts w:ascii="標楷體" w:eastAsia="標楷體" w:hAnsi="標楷體" w:hint="eastAsia"/>
          <w:szCs w:val="24"/>
        </w:rPr>
        <w:t>60211615號函修正</w:t>
      </w:r>
    </w:p>
    <w:bookmarkEnd w:id="0"/>
    <w:p w:rsidR="008A5187" w:rsidRPr="00956DF5" w:rsidRDefault="008A5187" w:rsidP="008A5187">
      <w:pPr>
        <w:pStyle w:val="a3"/>
        <w:numPr>
          <w:ilvl w:val="0"/>
          <w:numId w:val="13"/>
        </w:numPr>
        <w:tabs>
          <w:tab w:val="left" w:pos="567"/>
        </w:tabs>
        <w:spacing w:line="460" w:lineRule="exact"/>
        <w:ind w:leftChars="0" w:left="574" w:hangingChars="205" w:hanging="574"/>
        <w:jc w:val="both"/>
        <w:rPr>
          <w:rFonts w:ascii="標楷體" w:eastAsia="標楷體" w:hAnsi="標楷體"/>
          <w:sz w:val="28"/>
          <w:szCs w:val="28"/>
        </w:rPr>
      </w:pPr>
      <w:r w:rsidRPr="00956DF5">
        <w:rPr>
          <w:rFonts w:ascii="標楷體" w:eastAsia="標楷體" w:hAnsi="標楷體"/>
          <w:color w:val="000000"/>
          <w:sz w:val="28"/>
        </w:rPr>
        <w:t>臺中市政府（以下簡稱本府）</w:t>
      </w:r>
      <w:r w:rsidRPr="00956DF5">
        <w:rPr>
          <w:rFonts w:ascii="標楷體" w:eastAsia="標楷體" w:hAnsi="標楷體" w:hint="eastAsia"/>
          <w:color w:val="000000"/>
          <w:sz w:val="28"/>
        </w:rPr>
        <w:t>為提升本府便民服務效</w:t>
      </w:r>
      <w:r w:rsidRPr="00A43507">
        <w:rPr>
          <w:rFonts w:ascii="標楷體" w:eastAsia="標楷體" w:hAnsi="標楷體" w:hint="eastAsia"/>
          <w:color w:val="000000"/>
          <w:sz w:val="28"/>
        </w:rPr>
        <w:t>率及服</w:t>
      </w:r>
      <w:r w:rsidRPr="00956DF5">
        <w:rPr>
          <w:rFonts w:ascii="標楷體" w:eastAsia="標楷體" w:hAnsi="標楷體" w:hint="eastAsia"/>
          <w:color w:val="000000"/>
          <w:sz w:val="28"/>
        </w:rPr>
        <w:t>務品質，加強資訊流通</w:t>
      </w:r>
      <w:r w:rsidRPr="00A43507">
        <w:rPr>
          <w:rFonts w:ascii="標楷體" w:eastAsia="標楷體" w:hAnsi="標楷體" w:hint="eastAsia"/>
          <w:color w:val="000000"/>
          <w:sz w:val="28"/>
        </w:rPr>
        <w:t>及溝通之</w:t>
      </w:r>
      <w:r w:rsidRPr="00956DF5">
        <w:rPr>
          <w:rFonts w:ascii="標楷體" w:eastAsia="標楷體" w:hAnsi="標楷體" w:hint="eastAsia"/>
          <w:color w:val="000000"/>
          <w:sz w:val="28"/>
        </w:rPr>
        <w:t>管道，鼓勵各機關重視並積極推動網站內容之更新</w:t>
      </w:r>
      <w:r w:rsidRPr="00A43507">
        <w:rPr>
          <w:rFonts w:ascii="標楷體" w:eastAsia="標楷體" w:hAnsi="標楷體" w:hint="eastAsia"/>
          <w:color w:val="000000"/>
          <w:sz w:val="28"/>
        </w:rPr>
        <w:t>、</w:t>
      </w:r>
      <w:r w:rsidRPr="00956DF5">
        <w:rPr>
          <w:rFonts w:ascii="標楷體" w:eastAsia="標楷體" w:hAnsi="標楷體" w:hint="eastAsia"/>
          <w:color w:val="000000"/>
          <w:sz w:val="28"/>
        </w:rPr>
        <w:t>充實、維運及應用，</w:t>
      </w:r>
      <w:r>
        <w:rPr>
          <w:rFonts w:ascii="標楷體" w:eastAsia="標楷體" w:hAnsi="標楷體" w:hint="eastAsia"/>
          <w:color w:val="000000"/>
          <w:sz w:val="28"/>
        </w:rPr>
        <w:t>特</w:t>
      </w:r>
      <w:r w:rsidRPr="00956DF5">
        <w:rPr>
          <w:rFonts w:ascii="標楷體" w:eastAsia="標楷體" w:hAnsi="標楷體"/>
          <w:color w:val="000000"/>
          <w:sz w:val="28"/>
        </w:rPr>
        <w:t>設</w:t>
      </w:r>
      <w:r w:rsidRPr="00956DF5">
        <w:rPr>
          <w:rFonts w:ascii="標楷體" w:eastAsia="標楷體" w:hAnsi="標楷體" w:hint="eastAsia"/>
          <w:color w:val="000000"/>
          <w:sz w:val="28"/>
        </w:rPr>
        <w:t>臺中市政府全球資訊網維運工作小組</w:t>
      </w:r>
      <w:r w:rsidRPr="00956DF5">
        <w:rPr>
          <w:rFonts w:ascii="標楷體" w:eastAsia="標楷體" w:hAnsi="標楷體"/>
          <w:color w:val="000000"/>
          <w:sz w:val="28"/>
        </w:rPr>
        <w:t>（以下簡稱本小組），並訂定本要點。</w:t>
      </w:r>
    </w:p>
    <w:p w:rsidR="008A5187" w:rsidRPr="000649C7" w:rsidRDefault="008A5187" w:rsidP="008A5187">
      <w:pPr>
        <w:pStyle w:val="a3"/>
        <w:numPr>
          <w:ilvl w:val="0"/>
          <w:numId w:val="13"/>
        </w:numPr>
        <w:tabs>
          <w:tab w:val="left" w:pos="567"/>
        </w:tabs>
        <w:spacing w:line="460" w:lineRule="exact"/>
        <w:ind w:leftChars="0" w:left="574" w:hangingChars="205" w:hanging="574"/>
        <w:jc w:val="both"/>
        <w:rPr>
          <w:rFonts w:ascii="標楷體" w:eastAsia="標楷體" w:hAnsi="標楷體"/>
          <w:sz w:val="28"/>
          <w:szCs w:val="28"/>
        </w:rPr>
      </w:pPr>
      <w:r w:rsidRPr="000649C7">
        <w:rPr>
          <w:rFonts w:ascii="標楷體" w:eastAsia="標楷體" w:hAnsi="標楷體" w:hint="eastAsia"/>
          <w:sz w:val="28"/>
          <w:szCs w:val="28"/>
        </w:rPr>
        <w:t>本小組任務如下：</w:t>
      </w:r>
    </w:p>
    <w:p w:rsidR="008A5187" w:rsidRPr="000649C7" w:rsidRDefault="008A5187" w:rsidP="008A5187">
      <w:pPr>
        <w:pStyle w:val="a3"/>
        <w:numPr>
          <w:ilvl w:val="1"/>
          <w:numId w:val="13"/>
        </w:numPr>
        <w:tabs>
          <w:tab w:val="left" w:pos="567"/>
          <w:tab w:val="left" w:pos="1134"/>
        </w:tabs>
        <w:spacing w:line="460" w:lineRule="exact"/>
        <w:ind w:leftChars="0" w:left="1120" w:hanging="640"/>
        <w:jc w:val="both"/>
        <w:rPr>
          <w:rFonts w:ascii="標楷體" w:eastAsia="標楷體" w:hAnsi="標楷體"/>
          <w:sz w:val="28"/>
          <w:szCs w:val="28"/>
        </w:rPr>
      </w:pPr>
      <w:r w:rsidRPr="00A43507">
        <w:rPr>
          <w:rFonts w:ascii="標楷體" w:eastAsia="標楷體" w:hAnsi="標楷體" w:hint="eastAsia"/>
          <w:sz w:val="28"/>
          <w:szCs w:val="28"/>
        </w:rPr>
        <w:t>負責</w:t>
      </w:r>
      <w:r w:rsidRPr="000649C7">
        <w:rPr>
          <w:rFonts w:ascii="標楷體" w:eastAsia="標楷體" w:hAnsi="標楷體" w:hint="eastAsia"/>
          <w:sz w:val="28"/>
          <w:szCs w:val="28"/>
        </w:rPr>
        <w:t>本府全球資訊網站各機關維運分工職掌之協調事項。</w:t>
      </w:r>
    </w:p>
    <w:p w:rsidR="008A5187" w:rsidRPr="000649C7" w:rsidRDefault="008A5187" w:rsidP="008A5187">
      <w:pPr>
        <w:pStyle w:val="a3"/>
        <w:numPr>
          <w:ilvl w:val="1"/>
          <w:numId w:val="13"/>
        </w:numPr>
        <w:tabs>
          <w:tab w:val="left" w:pos="567"/>
          <w:tab w:val="left" w:pos="1134"/>
        </w:tabs>
        <w:spacing w:line="460" w:lineRule="exact"/>
        <w:ind w:leftChars="0" w:left="1120" w:hanging="640"/>
        <w:jc w:val="both"/>
        <w:rPr>
          <w:rFonts w:ascii="標楷體" w:eastAsia="標楷體" w:hAnsi="標楷體"/>
          <w:sz w:val="28"/>
          <w:szCs w:val="28"/>
        </w:rPr>
      </w:pPr>
      <w:r w:rsidRPr="000649C7">
        <w:rPr>
          <w:rFonts w:ascii="標楷體" w:eastAsia="標楷體" w:hAnsi="標楷體" w:hint="eastAsia"/>
          <w:sz w:val="28"/>
          <w:szCs w:val="28"/>
        </w:rPr>
        <w:t>審視本府全球資訊網站功能及</w:t>
      </w:r>
      <w:r w:rsidRPr="00A43507">
        <w:rPr>
          <w:rFonts w:ascii="標楷體" w:eastAsia="標楷體" w:hAnsi="標楷體" w:hint="eastAsia"/>
          <w:sz w:val="28"/>
          <w:szCs w:val="28"/>
        </w:rPr>
        <w:t>規劃</w:t>
      </w:r>
      <w:r w:rsidRPr="000649C7">
        <w:rPr>
          <w:rFonts w:ascii="標楷體" w:eastAsia="標楷體" w:hAnsi="標楷體" w:hint="eastAsia"/>
          <w:sz w:val="28"/>
          <w:szCs w:val="28"/>
        </w:rPr>
        <w:t>網頁內容。</w:t>
      </w:r>
    </w:p>
    <w:p w:rsidR="008A5187" w:rsidRPr="000649C7" w:rsidRDefault="008A5187" w:rsidP="008A5187">
      <w:pPr>
        <w:pStyle w:val="a3"/>
        <w:numPr>
          <w:ilvl w:val="1"/>
          <w:numId w:val="13"/>
        </w:numPr>
        <w:tabs>
          <w:tab w:val="left" w:pos="567"/>
          <w:tab w:val="left" w:pos="1134"/>
        </w:tabs>
        <w:spacing w:line="460" w:lineRule="exact"/>
        <w:ind w:left="1120" w:hanging="640"/>
        <w:jc w:val="both"/>
        <w:rPr>
          <w:rFonts w:ascii="標楷體" w:eastAsia="標楷體" w:hAnsi="標楷體"/>
          <w:sz w:val="28"/>
          <w:szCs w:val="28"/>
        </w:rPr>
      </w:pPr>
      <w:r w:rsidRPr="000649C7">
        <w:rPr>
          <w:rFonts w:ascii="標楷體" w:eastAsia="標楷體" w:hAnsi="標楷體" w:hint="eastAsia"/>
          <w:sz w:val="28"/>
          <w:szCs w:val="28"/>
        </w:rPr>
        <w:t>審視本府全球資訊網站各主題單元點閱率分析報告。</w:t>
      </w:r>
    </w:p>
    <w:p w:rsidR="008A5187" w:rsidRPr="000649C7" w:rsidRDefault="008A5187" w:rsidP="008A5187">
      <w:pPr>
        <w:pStyle w:val="a3"/>
        <w:numPr>
          <w:ilvl w:val="1"/>
          <w:numId w:val="13"/>
        </w:numPr>
        <w:tabs>
          <w:tab w:val="left" w:pos="567"/>
          <w:tab w:val="left" w:pos="1134"/>
        </w:tabs>
        <w:spacing w:line="460" w:lineRule="exact"/>
        <w:ind w:leftChars="0" w:left="1120" w:hanging="640"/>
        <w:jc w:val="both"/>
        <w:rPr>
          <w:rFonts w:ascii="標楷體" w:eastAsia="標楷體" w:hAnsi="標楷體"/>
          <w:sz w:val="28"/>
          <w:szCs w:val="28"/>
        </w:rPr>
      </w:pPr>
      <w:r w:rsidRPr="000649C7">
        <w:rPr>
          <w:rFonts w:ascii="標楷體" w:eastAsia="標楷體" w:hAnsi="標楷體" w:hint="eastAsia"/>
          <w:sz w:val="28"/>
          <w:szCs w:val="28"/>
        </w:rPr>
        <w:t>檢討本府全球資訊網之維運績效。</w:t>
      </w:r>
    </w:p>
    <w:p w:rsidR="008A5187" w:rsidRPr="000649C7" w:rsidRDefault="008A5187" w:rsidP="008A5187">
      <w:pPr>
        <w:pStyle w:val="a3"/>
        <w:numPr>
          <w:ilvl w:val="1"/>
          <w:numId w:val="13"/>
        </w:numPr>
        <w:tabs>
          <w:tab w:val="left" w:pos="567"/>
          <w:tab w:val="left" w:pos="1134"/>
        </w:tabs>
        <w:spacing w:line="460" w:lineRule="exact"/>
        <w:ind w:leftChars="0" w:left="1120" w:hanging="640"/>
        <w:jc w:val="both"/>
        <w:rPr>
          <w:rFonts w:ascii="標楷體" w:eastAsia="標楷體" w:hAnsi="標楷體"/>
          <w:sz w:val="28"/>
          <w:szCs w:val="28"/>
        </w:rPr>
      </w:pPr>
      <w:r w:rsidRPr="000649C7">
        <w:rPr>
          <w:rFonts w:ascii="標楷體" w:eastAsia="標楷體" w:hAnsi="標楷體" w:hint="eastAsia"/>
          <w:sz w:val="28"/>
          <w:szCs w:val="28"/>
        </w:rPr>
        <w:t>本府全球資訊網站重大措施之決策、建議及推動事項之審議。</w:t>
      </w:r>
    </w:p>
    <w:p w:rsidR="008A5187" w:rsidRPr="000649C7" w:rsidRDefault="008A5187" w:rsidP="008A5187">
      <w:pPr>
        <w:pStyle w:val="a3"/>
        <w:numPr>
          <w:ilvl w:val="1"/>
          <w:numId w:val="13"/>
        </w:numPr>
        <w:tabs>
          <w:tab w:val="left" w:pos="567"/>
          <w:tab w:val="left" w:pos="1134"/>
        </w:tabs>
        <w:spacing w:line="460" w:lineRule="exact"/>
        <w:ind w:leftChars="0" w:left="1120" w:hanging="640"/>
        <w:jc w:val="both"/>
        <w:rPr>
          <w:rFonts w:ascii="標楷體" w:eastAsia="標楷體" w:hAnsi="標楷體"/>
          <w:sz w:val="28"/>
          <w:szCs w:val="28"/>
        </w:rPr>
      </w:pPr>
      <w:r w:rsidRPr="000649C7">
        <w:rPr>
          <w:rFonts w:ascii="標楷體" w:eastAsia="標楷體" w:hAnsi="標楷體" w:hint="eastAsia"/>
          <w:sz w:val="28"/>
          <w:szCs w:val="28"/>
        </w:rPr>
        <w:t>本小組會議決議事項之執行、管制及督導事宜。</w:t>
      </w:r>
    </w:p>
    <w:p w:rsidR="008A5187" w:rsidRPr="000649C7" w:rsidRDefault="008A5187" w:rsidP="008A5187">
      <w:pPr>
        <w:pStyle w:val="a3"/>
        <w:numPr>
          <w:ilvl w:val="1"/>
          <w:numId w:val="13"/>
        </w:numPr>
        <w:tabs>
          <w:tab w:val="left" w:pos="567"/>
          <w:tab w:val="left" w:pos="1134"/>
        </w:tabs>
        <w:spacing w:line="460" w:lineRule="exact"/>
        <w:ind w:leftChars="0" w:left="1120" w:hanging="640"/>
        <w:jc w:val="both"/>
        <w:rPr>
          <w:rFonts w:ascii="標楷體" w:eastAsia="標楷體" w:hAnsi="標楷體"/>
          <w:sz w:val="28"/>
          <w:szCs w:val="28"/>
        </w:rPr>
      </w:pPr>
      <w:r w:rsidRPr="000649C7">
        <w:rPr>
          <w:rFonts w:ascii="標楷體" w:eastAsia="標楷體" w:hAnsi="標楷體" w:hint="eastAsia"/>
          <w:sz w:val="28"/>
          <w:szCs w:val="28"/>
        </w:rPr>
        <w:t>督導本府及所屬各機關網站維運之執行事項。</w:t>
      </w:r>
    </w:p>
    <w:p w:rsidR="008A5187" w:rsidRPr="000649C7" w:rsidRDefault="008A5187" w:rsidP="008A5187">
      <w:pPr>
        <w:pStyle w:val="a3"/>
        <w:numPr>
          <w:ilvl w:val="1"/>
          <w:numId w:val="13"/>
        </w:numPr>
        <w:tabs>
          <w:tab w:val="left" w:pos="567"/>
          <w:tab w:val="left" w:pos="1134"/>
        </w:tabs>
        <w:spacing w:line="460" w:lineRule="exact"/>
        <w:ind w:leftChars="0" w:left="1120" w:hanging="640"/>
        <w:jc w:val="both"/>
        <w:rPr>
          <w:rFonts w:ascii="標楷體" w:eastAsia="標楷體" w:hAnsi="標楷體"/>
          <w:sz w:val="28"/>
          <w:szCs w:val="28"/>
        </w:rPr>
      </w:pPr>
      <w:r w:rsidRPr="000649C7">
        <w:rPr>
          <w:rFonts w:ascii="標楷體" w:eastAsia="標楷體" w:hAnsi="標楷體" w:hint="eastAsia"/>
          <w:sz w:val="28"/>
          <w:szCs w:val="28"/>
        </w:rPr>
        <w:t>建立並執行本府</w:t>
      </w:r>
      <w:r>
        <w:rPr>
          <w:rFonts w:ascii="標楷體" w:eastAsia="標楷體" w:hAnsi="標楷體" w:hint="eastAsia"/>
          <w:sz w:val="28"/>
          <w:szCs w:val="28"/>
        </w:rPr>
        <w:t>各</w:t>
      </w:r>
      <w:r w:rsidRPr="000649C7">
        <w:rPr>
          <w:rFonts w:ascii="標楷體" w:eastAsia="標楷體" w:hAnsi="標楷體" w:hint="eastAsia"/>
          <w:sz w:val="28"/>
          <w:szCs w:val="28"/>
        </w:rPr>
        <w:t>機關網站評比制度。</w:t>
      </w:r>
    </w:p>
    <w:p w:rsidR="008A5187" w:rsidRPr="00847D92" w:rsidRDefault="008A5187" w:rsidP="008A5187">
      <w:pPr>
        <w:pStyle w:val="a3"/>
        <w:numPr>
          <w:ilvl w:val="0"/>
          <w:numId w:val="13"/>
        </w:numPr>
        <w:tabs>
          <w:tab w:val="left" w:pos="567"/>
        </w:tabs>
        <w:spacing w:line="460" w:lineRule="exact"/>
        <w:ind w:leftChars="0" w:left="574" w:hangingChars="205" w:hanging="574"/>
        <w:jc w:val="both"/>
        <w:rPr>
          <w:rFonts w:ascii="標楷體" w:eastAsia="標楷體" w:hAnsi="標楷體"/>
          <w:sz w:val="28"/>
          <w:szCs w:val="28"/>
        </w:rPr>
      </w:pPr>
      <w:r w:rsidRPr="009C5AF5">
        <w:rPr>
          <w:rFonts w:ascii="標楷體" w:eastAsia="標楷體" w:hAnsi="標楷體" w:hint="eastAsia"/>
          <w:sz w:val="28"/>
        </w:rPr>
        <w:t>本小組委員由本府各一級機關指派專門委員以上一名、各區公所指派主任秘書以上一名及臺中市政府資訊中心(以下簡稱本府資訊中心)主任，置召集人一人，由市長指派本小組委員兼任，副召集人一人由本府資訊中心主任兼任</w:t>
      </w:r>
      <w:r>
        <w:rPr>
          <w:rFonts w:ascii="標楷體" w:eastAsia="標楷體" w:hAnsi="標楷體" w:hint="eastAsia"/>
          <w:sz w:val="28"/>
        </w:rPr>
        <w:t>。</w:t>
      </w:r>
    </w:p>
    <w:p w:rsidR="008A5187" w:rsidRPr="005430E0" w:rsidRDefault="008A5187" w:rsidP="008A5187">
      <w:pPr>
        <w:pStyle w:val="a3"/>
        <w:numPr>
          <w:ilvl w:val="0"/>
          <w:numId w:val="13"/>
        </w:numPr>
        <w:tabs>
          <w:tab w:val="left" w:pos="567"/>
        </w:tabs>
        <w:spacing w:line="460" w:lineRule="exact"/>
        <w:ind w:leftChars="0" w:left="574" w:hangingChars="205" w:hanging="574"/>
        <w:jc w:val="both"/>
        <w:rPr>
          <w:rFonts w:ascii="標楷體" w:eastAsia="標楷體" w:hAnsi="標楷體"/>
          <w:sz w:val="28"/>
          <w:szCs w:val="28"/>
        </w:rPr>
      </w:pPr>
      <w:r>
        <w:rPr>
          <w:rFonts w:ascii="標楷體" w:eastAsia="標楷體" w:hAnsi="標楷體" w:hint="eastAsia"/>
          <w:sz w:val="28"/>
          <w:szCs w:val="28"/>
        </w:rPr>
        <w:t>本小組委員之任期為二年，得連任但應隨其本職進退；</w:t>
      </w:r>
      <w:r w:rsidRPr="00852EED">
        <w:rPr>
          <w:rFonts w:ascii="標楷體" w:eastAsia="標楷體" w:hAnsi="標楷體" w:hint="eastAsia"/>
          <w:sz w:val="28"/>
          <w:szCs w:val="28"/>
        </w:rPr>
        <w:t>委員出缺時，得補派之，其補</w:t>
      </w:r>
      <w:r>
        <w:rPr>
          <w:rFonts w:ascii="標楷體" w:eastAsia="標楷體" w:hAnsi="標楷體" w:hint="eastAsia"/>
          <w:sz w:val="28"/>
          <w:szCs w:val="28"/>
        </w:rPr>
        <w:t>派</w:t>
      </w:r>
      <w:r w:rsidRPr="00852EED">
        <w:rPr>
          <w:rFonts w:ascii="標楷體" w:eastAsia="標楷體" w:hAnsi="標楷體" w:hint="eastAsia"/>
          <w:sz w:val="28"/>
          <w:szCs w:val="28"/>
        </w:rPr>
        <w:t>委員之任期至原任期屆滿之日為止。</w:t>
      </w:r>
    </w:p>
    <w:p w:rsidR="008A5187" w:rsidRPr="00E51F0F" w:rsidRDefault="008A5187" w:rsidP="008A5187">
      <w:pPr>
        <w:pStyle w:val="a3"/>
        <w:numPr>
          <w:ilvl w:val="0"/>
          <w:numId w:val="13"/>
        </w:numPr>
        <w:tabs>
          <w:tab w:val="left" w:pos="567"/>
        </w:tabs>
        <w:spacing w:line="460" w:lineRule="exact"/>
        <w:ind w:leftChars="0" w:left="574" w:hangingChars="205" w:hanging="574"/>
        <w:jc w:val="both"/>
        <w:rPr>
          <w:rFonts w:ascii="標楷體" w:eastAsia="標楷體" w:hAnsi="標楷體"/>
          <w:sz w:val="28"/>
          <w:szCs w:val="28"/>
        </w:rPr>
      </w:pPr>
      <w:r w:rsidRPr="000649C7">
        <w:rPr>
          <w:rFonts w:ascii="標楷體" w:eastAsia="標楷體" w:hAnsi="標楷體"/>
          <w:sz w:val="28"/>
        </w:rPr>
        <w:t>本小組置</w:t>
      </w:r>
      <w:r w:rsidRPr="008806D6">
        <w:rPr>
          <w:rFonts w:ascii="標楷體" w:eastAsia="標楷體" w:hAnsi="標楷體" w:hint="eastAsia"/>
          <w:sz w:val="28"/>
          <w:szCs w:val="28"/>
        </w:rPr>
        <w:t>執行秘書</w:t>
      </w:r>
      <w:r>
        <w:rPr>
          <w:rFonts w:ascii="標楷體" w:eastAsia="標楷體" w:hAnsi="標楷體" w:hint="eastAsia"/>
          <w:sz w:val="28"/>
          <w:szCs w:val="28"/>
        </w:rPr>
        <w:t>一</w:t>
      </w:r>
      <w:r w:rsidRPr="008806D6">
        <w:rPr>
          <w:rFonts w:ascii="標楷體" w:eastAsia="標楷體" w:hAnsi="標楷體" w:hint="eastAsia"/>
          <w:sz w:val="28"/>
          <w:szCs w:val="28"/>
        </w:rPr>
        <w:t>人</w:t>
      </w:r>
      <w:r>
        <w:rPr>
          <w:rFonts w:ascii="標楷體" w:eastAsia="標楷體" w:hAnsi="標楷體" w:hint="eastAsia"/>
          <w:sz w:val="28"/>
          <w:szCs w:val="28"/>
        </w:rPr>
        <w:t>，由本府資訊中心副主任</w:t>
      </w:r>
      <w:r w:rsidRPr="008806D6">
        <w:rPr>
          <w:rFonts w:ascii="標楷體" w:eastAsia="標楷體" w:hAnsi="標楷體" w:hint="eastAsia"/>
          <w:sz w:val="28"/>
          <w:szCs w:val="28"/>
        </w:rPr>
        <w:t>兼任</w:t>
      </w:r>
      <w:r>
        <w:rPr>
          <w:rFonts w:ascii="標楷體" w:eastAsia="標楷體" w:hAnsi="標楷體" w:hint="eastAsia"/>
          <w:sz w:val="28"/>
          <w:szCs w:val="28"/>
        </w:rPr>
        <w:t>，承召集人</w:t>
      </w:r>
      <w:r w:rsidRPr="00852EED">
        <w:rPr>
          <w:rFonts w:ascii="標楷體" w:eastAsia="標楷體" w:hAnsi="標楷體" w:hint="eastAsia"/>
          <w:sz w:val="28"/>
          <w:szCs w:val="28"/>
        </w:rPr>
        <w:t>之命處理會務</w:t>
      </w:r>
      <w:r>
        <w:rPr>
          <w:rFonts w:ascii="標楷體" w:eastAsia="標楷體" w:hAnsi="標楷體" w:hint="eastAsia"/>
          <w:sz w:val="28"/>
          <w:szCs w:val="28"/>
        </w:rPr>
        <w:t>，</w:t>
      </w:r>
      <w:r>
        <w:rPr>
          <w:rFonts w:eastAsia="標楷體" w:hAnsi="標楷體" w:hint="eastAsia"/>
          <w:bCs/>
          <w:sz w:val="28"/>
          <w:szCs w:val="28"/>
        </w:rPr>
        <w:t>綜合業務</w:t>
      </w:r>
      <w:r w:rsidRPr="00E51F0F">
        <w:rPr>
          <w:rFonts w:ascii="標楷體" w:eastAsia="標楷體" w:hAnsi="標楷體" w:hint="eastAsia"/>
          <w:sz w:val="28"/>
          <w:szCs w:val="28"/>
        </w:rPr>
        <w:t>由本府資訊中心辦理。</w:t>
      </w:r>
    </w:p>
    <w:p w:rsidR="008A5187" w:rsidRDefault="008A5187" w:rsidP="008A5187">
      <w:pPr>
        <w:pStyle w:val="a3"/>
        <w:numPr>
          <w:ilvl w:val="0"/>
          <w:numId w:val="13"/>
        </w:numPr>
        <w:tabs>
          <w:tab w:val="left" w:pos="567"/>
        </w:tabs>
        <w:spacing w:line="460" w:lineRule="exact"/>
        <w:ind w:leftChars="0" w:left="574" w:hangingChars="205" w:hanging="574"/>
        <w:jc w:val="both"/>
        <w:rPr>
          <w:rFonts w:ascii="標楷體" w:eastAsia="標楷體" w:hAnsi="標楷體"/>
          <w:sz w:val="28"/>
          <w:szCs w:val="28"/>
        </w:rPr>
      </w:pPr>
      <w:r w:rsidRPr="008806D6">
        <w:rPr>
          <w:rFonts w:ascii="標楷體" w:eastAsia="標楷體" w:hAnsi="標楷體" w:hint="eastAsia"/>
          <w:sz w:val="28"/>
          <w:szCs w:val="28"/>
        </w:rPr>
        <w:t>本小組每半年召開會議</w:t>
      </w:r>
      <w:r>
        <w:rPr>
          <w:rFonts w:ascii="標楷體" w:eastAsia="標楷體" w:hAnsi="標楷體" w:hint="eastAsia"/>
          <w:sz w:val="28"/>
          <w:szCs w:val="28"/>
        </w:rPr>
        <w:t>一次，必要時得召開臨時會議。小組會議由召集人召集並擔任主席。召集人因故不克</w:t>
      </w:r>
      <w:r w:rsidRPr="008806D6">
        <w:rPr>
          <w:rFonts w:ascii="標楷體" w:eastAsia="標楷體" w:hAnsi="標楷體" w:hint="eastAsia"/>
          <w:sz w:val="28"/>
          <w:szCs w:val="28"/>
        </w:rPr>
        <w:t>出席時，由副召集人代理</w:t>
      </w:r>
      <w:r>
        <w:rPr>
          <w:rFonts w:ascii="標楷體" w:eastAsia="標楷體" w:hAnsi="標楷體" w:hint="eastAsia"/>
          <w:sz w:val="28"/>
          <w:szCs w:val="28"/>
        </w:rPr>
        <w:t>；</w:t>
      </w:r>
      <w:r w:rsidRPr="008806D6">
        <w:rPr>
          <w:rFonts w:ascii="標楷體" w:eastAsia="標楷體" w:hAnsi="標楷體" w:hint="eastAsia"/>
          <w:sz w:val="28"/>
          <w:szCs w:val="28"/>
        </w:rPr>
        <w:t>召集人及副召集人均不克出席時，由召集人指定</w:t>
      </w:r>
      <w:r>
        <w:rPr>
          <w:rFonts w:ascii="標楷體" w:eastAsia="標楷體" w:hAnsi="標楷體" w:hint="eastAsia"/>
          <w:sz w:val="28"/>
          <w:szCs w:val="28"/>
        </w:rPr>
        <w:t>委員一人代理</w:t>
      </w:r>
      <w:r w:rsidRPr="00A43507">
        <w:rPr>
          <w:rFonts w:ascii="標楷體" w:eastAsia="標楷體" w:hAnsi="標楷體" w:hint="eastAsia"/>
          <w:sz w:val="28"/>
          <w:szCs w:val="28"/>
        </w:rPr>
        <w:t>之</w:t>
      </w:r>
      <w:r w:rsidRPr="008806D6">
        <w:rPr>
          <w:rFonts w:ascii="標楷體" w:eastAsia="標楷體" w:hAnsi="標楷體" w:hint="eastAsia"/>
          <w:sz w:val="28"/>
          <w:szCs w:val="28"/>
        </w:rPr>
        <w:t>。</w:t>
      </w:r>
    </w:p>
    <w:p w:rsidR="008A5187" w:rsidRDefault="008A5187" w:rsidP="008A5187">
      <w:pPr>
        <w:pStyle w:val="a3"/>
        <w:numPr>
          <w:ilvl w:val="0"/>
          <w:numId w:val="13"/>
        </w:numPr>
        <w:tabs>
          <w:tab w:val="left" w:pos="567"/>
        </w:tabs>
        <w:spacing w:line="460" w:lineRule="exact"/>
        <w:ind w:leftChars="0" w:left="574" w:hangingChars="205" w:hanging="574"/>
        <w:jc w:val="both"/>
        <w:rPr>
          <w:rFonts w:ascii="標楷體" w:eastAsia="標楷體" w:hAnsi="標楷體"/>
          <w:sz w:val="28"/>
          <w:szCs w:val="28"/>
        </w:rPr>
      </w:pPr>
      <w:r>
        <w:rPr>
          <w:rFonts w:ascii="標楷體" w:eastAsia="標楷體" w:hAnsi="標楷體" w:hint="eastAsia"/>
          <w:sz w:val="28"/>
          <w:szCs w:val="28"/>
        </w:rPr>
        <w:t>本小組會議召開時，得視需要邀請專家、學者及相關人員列席。</w:t>
      </w:r>
    </w:p>
    <w:p w:rsidR="008A5187" w:rsidRDefault="008A5187" w:rsidP="008A5187">
      <w:pPr>
        <w:pStyle w:val="a3"/>
        <w:numPr>
          <w:ilvl w:val="0"/>
          <w:numId w:val="13"/>
        </w:numPr>
        <w:tabs>
          <w:tab w:val="left" w:pos="567"/>
        </w:tabs>
        <w:spacing w:line="460" w:lineRule="exact"/>
        <w:ind w:leftChars="0" w:left="574" w:hangingChars="205" w:hanging="574"/>
        <w:jc w:val="both"/>
        <w:rPr>
          <w:rFonts w:ascii="標楷體" w:eastAsia="標楷體" w:hAnsi="標楷體"/>
          <w:sz w:val="28"/>
          <w:szCs w:val="28"/>
        </w:rPr>
      </w:pPr>
      <w:r>
        <w:rPr>
          <w:rFonts w:ascii="標楷體" w:eastAsia="標楷體" w:hAnsi="標楷體" w:hint="eastAsia"/>
          <w:sz w:val="28"/>
          <w:szCs w:val="28"/>
        </w:rPr>
        <w:t>本小組所需作業經費，由本府各項相關經費項下支應。</w:t>
      </w:r>
    </w:p>
    <w:p w:rsidR="004323CE" w:rsidRPr="008A5187" w:rsidRDefault="008A5187" w:rsidP="008A5187">
      <w:pPr>
        <w:pStyle w:val="a3"/>
        <w:numPr>
          <w:ilvl w:val="0"/>
          <w:numId w:val="13"/>
        </w:numPr>
        <w:tabs>
          <w:tab w:val="left" w:pos="567"/>
        </w:tabs>
        <w:spacing w:line="460" w:lineRule="exact"/>
        <w:ind w:leftChars="0" w:left="574" w:hangingChars="205" w:hanging="574"/>
        <w:jc w:val="both"/>
      </w:pPr>
      <w:r w:rsidRPr="008A5187">
        <w:rPr>
          <w:rFonts w:ascii="標楷體" w:eastAsia="標楷體" w:hAnsi="標楷體" w:hint="eastAsia"/>
          <w:sz w:val="28"/>
          <w:szCs w:val="28"/>
        </w:rPr>
        <w:t>本小組兼任人員均為無給職。</w:t>
      </w:r>
    </w:p>
    <w:sectPr w:rsidR="004323CE" w:rsidRPr="008A5187" w:rsidSect="0049033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FE" w:rsidRDefault="00FA33FE" w:rsidP="005D065D">
      <w:r>
        <w:separator/>
      </w:r>
    </w:p>
  </w:endnote>
  <w:endnote w:type="continuationSeparator" w:id="0">
    <w:p w:rsidR="00FA33FE" w:rsidRDefault="00FA33FE" w:rsidP="005D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FE" w:rsidRDefault="00FA33FE" w:rsidP="005D065D">
      <w:r>
        <w:separator/>
      </w:r>
    </w:p>
  </w:footnote>
  <w:footnote w:type="continuationSeparator" w:id="0">
    <w:p w:rsidR="00FA33FE" w:rsidRDefault="00FA33FE" w:rsidP="005D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48D"/>
    <w:multiLevelType w:val="hybridMultilevel"/>
    <w:tmpl w:val="E506D05A"/>
    <w:lvl w:ilvl="0" w:tplc="B36CDA18">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A00D66"/>
    <w:multiLevelType w:val="hybridMultilevel"/>
    <w:tmpl w:val="751E8BAA"/>
    <w:lvl w:ilvl="0" w:tplc="C960EF72">
      <w:start w:val="1"/>
      <w:numFmt w:val="taiwaneseCountingThousand"/>
      <w:lvlText w:val="%1、"/>
      <w:lvlJc w:val="left"/>
      <w:pPr>
        <w:ind w:left="1074" w:hanging="480"/>
      </w:pPr>
      <w:rPr>
        <w:rFonts w:hint="eastAsia"/>
      </w:rPr>
    </w:lvl>
    <w:lvl w:ilvl="1" w:tplc="04090019" w:tentative="1">
      <w:start w:val="1"/>
      <w:numFmt w:val="ideographTraditional"/>
      <w:lvlText w:val="%2、"/>
      <w:lvlJc w:val="left"/>
      <w:pPr>
        <w:ind w:left="1554" w:hanging="480"/>
      </w:pPr>
    </w:lvl>
    <w:lvl w:ilvl="2" w:tplc="0409001B" w:tentative="1">
      <w:start w:val="1"/>
      <w:numFmt w:val="lowerRoman"/>
      <w:lvlText w:val="%3."/>
      <w:lvlJc w:val="right"/>
      <w:pPr>
        <w:ind w:left="2034" w:hanging="480"/>
      </w:pPr>
    </w:lvl>
    <w:lvl w:ilvl="3" w:tplc="0409000F" w:tentative="1">
      <w:start w:val="1"/>
      <w:numFmt w:val="decimal"/>
      <w:lvlText w:val="%4."/>
      <w:lvlJc w:val="left"/>
      <w:pPr>
        <w:ind w:left="2514" w:hanging="480"/>
      </w:pPr>
    </w:lvl>
    <w:lvl w:ilvl="4" w:tplc="04090019" w:tentative="1">
      <w:start w:val="1"/>
      <w:numFmt w:val="ideographTraditional"/>
      <w:lvlText w:val="%5、"/>
      <w:lvlJc w:val="left"/>
      <w:pPr>
        <w:ind w:left="2994" w:hanging="480"/>
      </w:p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2" w15:restartNumberingAfterBreak="0">
    <w:nsid w:val="32AC1F0C"/>
    <w:multiLevelType w:val="hybridMultilevel"/>
    <w:tmpl w:val="8DD0E506"/>
    <w:lvl w:ilvl="0" w:tplc="DD989A2A">
      <w:start w:val="1"/>
      <w:numFmt w:val="taiwaneseCountingThousand"/>
      <w:lvlText w:val="%1、"/>
      <w:lvlJc w:val="left"/>
      <w:pPr>
        <w:ind w:left="1997" w:hanging="720"/>
      </w:pPr>
      <w:rPr>
        <w:rFonts w:ascii="Times New Roman" w:hAnsi="Times New Roman" w:hint="default"/>
        <w:sz w:val="28"/>
        <w:szCs w:val="28"/>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3F706A88"/>
    <w:multiLevelType w:val="hybridMultilevel"/>
    <w:tmpl w:val="A456F81A"/>
    <w:lvl w:ilvl="0" w:tplc="1A105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513A15"/>
    <w:multiLevelType w:val="hybridMultilevel"/>
    <w:tmpl w:val="E43EABF6"/>
    <w:lvl w:ilvl="0" w:tplc="61487456">
      <w:start w:val="1"/>
      <w:numFmt w:val="taiwaneseCountingThousand"/>
      <w:lvlText w:val="%1、"/>
      <w:lvlJc w:val="left"/>
      <w:pPr>
        <w:ind w:left="10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762DC6"/>
    <w:multiLevelType w:val="hybridMultilevel"/>
    <w:tmpl w:val="A456F81A"/>
    <w:lvl w:ilvl="0" w:tplc="1A105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C037F5"/>
    <w:multiLevelType w:val="hybridMultilevel"/>
    <w:tmpl w:val="A456F81A"/>
    <w:lvl w:ilvl="0" w:tplc="1A105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B75E6D"/>
    <w:multiLevelType w:val="hybridMultilevel"/>
    <w:tmpl w:val="61E4F1F8"/>
    <w:lvl w:ilvl="0" w:tplc="781AF354">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5B6561"/>
    <w:multiLevelType w:val="hybridMultilevel"/>
    <w:tmpl w:val="B3AC76A0"/>
    <w:lvl w:ilvl="0" w:tplc="FA8EA8F0">
      <w:start w:val="1"/>
      <w:numFmt w:val="taiwaneseCountingThousand"/>
      <w:suff w:val="nothing"/>
      <w:lvlText w:val="(%1)"/>
      <w:lvlJc w:val="left"/>
      <w:pPr>
        <w:ind w:left="1277" w:firstLine="0"/>
      </w:pPr>
      <w:rPr>
        <w:rFonts w:hint="default"/>
      </w:rPr>
    </w:lvl>
    <w:lvl w:ilvl="1" w:tplc="04090019" w:tentative="1">
      <w:start w:val="1"/>
      <w:numFmt w:val="ideographTraditional"/>
      <w:lvlText w:val="%2、"/>
      <w:lvlJc w:val="left"/>
      <w:pPr>
        <w:ind w:left="1043" w:hanging="480"/>
      </w:pPr>
    </w:lvl>
    <w:lvl w:ilvl="2" w:tplc="0409001B" w:tentative="1">
      <w:start w:val="1"/>
      <w:numFmt w:val="lowerRoman"/>
      <w:lvlText w:val="%3."/>
      <w:lvlJc w:val="right"/>
      <w:pPr>
        <w:ind w:left="1523" w:hanging="480"/>
      </w:pPr>
    </w:lvl>
    <w:lvl w:ilvl="3" w:tplc="0409000F" w:tentative="1">
      <w:start w:val="1"/>
      <w:numFmt w:val="decimal"/>
      <w:lvlText w:val="%4."/>
      <w:lvlJc w:val="left"/>
      <w:pPr>
        <w:ind w:left="2003" w:hanging="480"/>
      </w:pPr>
    </w:lvl>
    <w:lvl w:ilvl="4" w:tplc="04090019" w:tentative="1">
      <w:start w:val="1"/>
      <w:numFmt w:val="ideographTraditional"/>
      <w:lvlText w:val="%5、"/>
      <w:lvlJc w:val="left"/>
      <w:pPr>
        <w:ind w:left="2483" w:hanging="480"/>
      </w:pPr>
    </w:lvl>
    <w:lvl w:ilvl="5" w:tplc="0409001B" w:tentative="1">
      <w:start w:val="1"/>
      <w:numFmt w:val="lowerRoman"/>
      <w:lvlText w:val="%6."/>
      <w:lvlJc w:val="right"/>
      <w:pPr>
        <w:ind w:left="2963" w:hanging="480"/>
      </w:pPr>
    </w:lvl>
    <w:lvl w:ilvl="6" w:tplc="0409000F" w:tentative="1">
      <w:start w:val="1"/>
      <w:numFmt w:val="decimal"/>
      <w:lvlText w:val="%7."/>
      <w:lvlJc w:val="left"/>
      <w:pPr>
        <w:ind w:left="3443" w:hanging="480"/>
      </w:pPr>
    </w:lvl>
    <w:lvl w:ilvl="7" w:tplc="04090019" w:tentative="1">
      <w:start w:val="1"/>
      <w:numFmt w:val="ideographTraditional"/>
      <w:lvlText w:val="%8、"/>
      <w:lvlJc w:val="left"/>
      <w:pPr>
        <w:ind w:left="3923" w:hanging="480"/>
      </w:pPr>
    </w:lvl>
    <w:lvl w:ilvl="8" w:tplc="0409001B" w:tentative="1">
      <w:start w:val="1"/>
      <w:numFmt w:val="lowerRoman"/>
      <w:lvlText w:val="%9."/>
      <w:lvlJc w:val="right"/>
      <w:pPr>
        <w:ind w:left="4403" w:hanging="480"/>
      </w:pPr>
    </w:lvl>
  </w:abstractNum>
  <w:abstractNum w:abstractNumId="9" w15:restartNumberingAfterBreak="0">
    <w:nsid w:val="62081E69"/>
    <w:multiLevelType w:val="hybridMultilevel"/>
    <w:tmpl w:val="E43EABF6"/>
    <w:lvl w:ilvl="0" w:tplc="61487456">
      <w:start w:val="1"/>
      <w:numFmt w:val="taiwaneseCountingThousand"/>
      <w:lvlText w:val="%1、"/>
      <w:lvlJc w:val="left"/>
      <w:pPr>
        <w:ind w:left="10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9079F3"/>
    <w:multiLevelType w:val="hybridMultilevel"/>
    <w:tmpl w:val="DE10B130"/>
    <w:lvl w:ilvl="0" w:tplc="23A02B5C">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23EC1"/>
    <w:multiLevelType w:val="hybridMultilevel"/>
    <w:tmpl w:val="D930C968"/>
    <w:lvl w:ilvl="0" w:tplc="47D4F74C">
      <w:start w:val="1"/>
      <w:numFmt w:val="taiwaneseCountingThousand"/>
      <w:lvlText w:val="%1、"/>
      <w:lvlJc w:val="left"/>
      <w:pPr>
        <w:ind w:left="480" w:hanging="480"/>
      </w:pPr>
      <w:rPr>
        <w:rFonts w:cs="Arial"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474A7D"/>
    <w:multiLevelType w:val="hybridMultilevel"/>
    <w:tmpl w:val="2954FA50"/>
    <w:lvl w:ilvl="0" w:tplc="8A568692">
      <w:start w:val="1"/>
      <w:numFmt w:val="taiwaneseCountingThousand"/>
      <w:lvlText w:val="%1、"/>
      <w:lvlJc w:val="left"/>
      <w:pPr>
        <w:ind w:left="480" w:hanging="480"/>
      </w:pPr>
      <w:rPr>
        <w:rFonts w:ascii="標楷體" w:eastAsia="標楷體" w:hAnsi="標楷體" w:hint="default"/>
        <w:sz w:val="28"/>
        <w:szCs w:val="28"/>
        <w:lang w:val="en-US"/>
      </w:rPr>
    </w:lvl>
    <w:lvl w:ilvl="1" w:tplc="946EE45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
  </w:num>
  <w:num w:numId="4">
    <w:abstractNumId w:val="2"/>
  </w:num>
  <w:num w:numId="5">
    <w:abstractNumId w:val="8"/>
  </w:num>
  <w:num w:numId="6">
    <w:abstractNumId w:val="4"/>
  </w:num>
  <w:num w:numId="7">
    <w:abstractNumId w:val="5"/>
  </w:num>
  <w:num w:numId="8">
    <w:abstractNumId w:val="0"/>
  </w:num>
  <w:num w:numId="9">
    <w:abstractNumId w:val="11"/>
  </w:num>
  <w:num w:numId="10">
    <w:abstractNumId w:val="9"/>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36"/>
    <w:rsid w:val="001D3DAB"/>
    <w:rsid w:val="004323CE"/>
    <w:rsid w:val="00490336"/>
    <w:rsid w:val="005D065D"/>
    <w:rsid w:val="008A5187"/>
    <w:rsid w:val="00976FEF"/>
    <w:rsid w:val="00BE6F5C"/>
    <w:rsid w:val="00DA1E84"/>
    <w:rsid w:val="00FA33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DB048-6D4A-4DE9-BD5B-2A0B5714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3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FEF"/>
    <w:pPr>
      <w:ind w:leftChars="200" w:left="480"/>
    </w:pPr>
    <w:rPr>
      <w:szCs w:val="24"/>
    </w:rPr>
  </w:style>
  <w:style w:type="paragraph" w:styleId="a4">
    <w:name w:val="header"/>
    <w:basedOn w:val="a"/>
    <w:link w:val="a5"/>
    <w:uiPriority w:val="99"/>
    <w:unhideWhenUsed/>
    <w:rsid w:val="005D065D"/>
    <w:pPr>
      <w:tabs>
        <w:tab w:val="center" w:pos="4153"/>
        <w:tab w:val="right" w:pos="8306"/>
      </w:tabs>
      <w:snapToGrid w:val="0"/>
    </w:pPr>
    <w:rPr>
      <w:sz w:val="20"/>
    </w:rPr>
  </w:style>
  <w:style w:type="character" w:customStyle="1" w:styleId="a5">
    <w:name w:val="頁首 字元"/>
    <w:basedOn w:val="a0"/>
    <w:link w:val="a4"/>
    <w:uiPriority w:val="99"/>
    <w:rsid w:val="005D065D"/>
    <w:rPr>
      <w:rFonts w:ascii="Times New Roman" w:eastAsia="新細明體" w:hAnsi="Times New Roman" w:cs="Times New Roman"/>
      <w:sz w:val="20"/>
      <w:szCs w:val="20"/>
    </w:rPr>
  </w:style>
  <w:style w:type="paragraph" w:styleId="a6">
    <w:name w:val="footer"/>
    <w:basedOn w:val="a"/>
    <w:link w:val="a7"/>
    <w:uiPriority w:val="99"/>
    <w:unhideWhenUsed/>
    <w:rsid w:val="005D065D"/>
    <w:pPr>
      <w:tabs>
        <w:tab w:val="center" w:pos="4153"/>
        <w:tab w:val="right" w:pos="8306"/>
      </w:tabs>
      <w:snapToGrid w:val="0"/>
    </w:pPr>
    <w:rPr>
      <w:sz w:val="20"/>
    </w:rPr>
  </w:style>
  <w:style w:type="character" w:customStyle="1" w:styleId="a7">
    <w:name w:val="頁尾 字元"/>
    <w:basedOn w:val="a0"/>
    <w:link w:val="a6"/>
    <w:uiPriority w:val="99"/>
    <w:rsid w:val="005D065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196</Words>
  <Characters>1123</Characters>
  <Application>Microsoft Office Word</Application>
  <DocSecurity>0</DocSecurity>
  <Lines>9</Lines>
  <Paragraphs>2</Paragraphs>
  <ScaleCrop>false</ScaleCrop>
  <Company>TCCG</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葉芬慈</dc:creator>
  <cp:keywords/>
  <dc:description/>
  <cp:lastModifiedBy>葉芬慈</cp:lastModifiedBy>
  <cp:revision>4</cp:revision>
  <dcterms:created xsi:type="dcterms:W3CDTF">2019-08-09T02:25:00Z</dcterms:created>
  <dcterms:modified xsi:type="dcterms:W3CDTF">2019-08-09T02:31:00Z</dcterms:modified>
</cp:coreProperties>
</file>