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16" w:rsidRDefault="001235BB">
      <w:pPr>
        <w:pStyle w:val="Standard"/>
        <w:spacing w:line="240" w:lineRule="auto"/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28"/>
        </w:rPr>
        <w:t>臺中市居家式托育服務收退費項目及基準</w:t>
      </w:r>
    </w:p>
    <w:p w:rsidR="00411C16" w:rsidRDefault="001235BB">
      <w:pPr>
        <w:pStyle w:val="Standard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ㄧ、本收退費項目及基準依居家式托育服務提供者登記及管理辦法第二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411C16" w:rsidRDefault="001235BB">
      <w:pPr>
        <w:pStyle w:val="Standard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十條規定訂定之。</w:t>
      </w:r>
    </w:p>
    <w:p w:rsidR="00411C16" w:rsidRDefault="001235BB">
      <w:pPr>
        <w:pStyle w:val="Standard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二、收費項目：分為應收項目及得收項目，托育人員不得收取應收項目</w:t>
      </w:r>
    </w:p>
    <w:p w:rsidR="00411C16" w:rsidRDefault="001235BB">
      <w:pPr>
        <w:pStyle w:val="Standard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和得收項目以外之項目。</w:t>
      </w:r>
    </w:p>
    <w:p w:rsidR="00411C16" w:rsidRDefault="001235BB">
      <w:pPr>
        <w:pStyle w:val="Standard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ㄧ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應收項目：托育費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含半日托育、日間托育、全日托育及臨時</w:t>
      </w:r>
    </w:p>
    <w:p w:rsidR="00411C16" w:rsidRDefault="001235BB">
      <w:pPr>
        <w:pStyle w:val="Standard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托育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及副食品費。</w:t>
      </w:r>
    </w:p>
    <w:p w:rsidR="00411C16" w:rsidRDefault="001235BB">
      <w:pPr>
        <w:pStyle w:val="Standard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得收項目：延長托育費用、節慶獎金或禮品。</w:t>
      </w:r>
    </w:p>
    <w:p w:rsidR="00411C16" w:rsidRDefault="001235BB">
      <w:pPr>
        <w:pStyle w:val="Standard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三、收費基準：</w:t>
      </w:r>
    </w:p>
    <w:p w:rsidR="00411C16" w:rsidRDefault="001235BB">
      <w:pPr>
        <w:pStyle w:val="Standard"/>
        <w:spacing w:line="460" w:lineRule="exact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ㄧ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收費以月為原則，每月以</w:t>
      </w:r>
      <w:r>
        <w:rPr>
          <w:rFonts w:ascii="標楷體" w:eastAsia="標楷體" w:hAnsi="標楷體"/>
          <w:color w:val="000000"/>
          <w:sz w:val="28"/>
          <w:szCs w:val="28"/>
        </w:rPr>
        <w:t>三十日</w:t>
      </w:r>
      <w:r>
        <w:rPr>
          <w:rFonts w:ascii="標楷體" w:eastAsia="標楷體" w:hAnsi="標楷體"/>
          <w:sz w:val="28"/>
          <w:szCs w:val="28"/>
        </w:rPr>
        <w:t>計算。</w:t>
      </w:r>
    </w:p>
    <w:p w:rsidR="00411C16" w:rsidRDefault="001235BB">
      <w:pPr>
        <w:pStyle w:val="Standard"/>
        <w:spacing w:line="460" w:lineRule="exact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日托每日以</w:t>
      </w:r>
      <w:r>
        <w:rPr>
          <w:rFonts w:ascii="標楷體" w:eastAsia="標楷體" w:hAnsi="標楷體"/>
          <w:color w:val="000000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小時，週一至週五為原則。</w:t>
      </w:r>
    </w:p>
    <w:p w:rsidR="00411C16" w:rsidRDefault="001235BB">
      <w:pPr>
        <w:pStyle w:val="Standard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四、臺中市政府公告日間托育費、全日托育費及副食品費收費金額如附</w:t>
      </w:r>
    </w:p>
    <w:p w:rsidR="00411C16" w:rsidRDefault="001235BB">
      <w:pPr>
        <w:pStyle w:val="Standard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表。</w:t>
      </w:r>
    </w:p>
    <w:p w:rsidR="00411C16" w:rsidRDefault="001235BB">
      <w:pPr>
        <w:pStyle w:val="Standard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半日托育及臨時托育之托育費由家長與托育人員於契約合意訂定。</w:t>
      </w:r>
    </w:p>
    <w:p w:rsidR="00411C16" w:rsidRDefault="001235BB">
      <w:pPr>
        <w:pStyle w:val="Standard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五、退費項目：托育費。</w:t>
      </w:r>
    </w:p>
    <w:p w:rsidR="00411C16" w:rsidRDefault="001235BB">
      <w:pPr>
        <w:pStyle w:val="Standard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六、退費基準：</w:t>
      </w:r>
    </w:p>
    <w:p w:rsidR="00411C16" w:rsidRDefault="001235BB">
      <w:pPr>
        <w:pStyle w:val="Standard"/>
        <w:spacing w:line="460" w:lineRule="exact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ㄧ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退費以月為原則，每月以</w:t>
      </w:r>
      <w:r>
        <w:rPr>
          <w:rFonts w:ascii="標楷體" w:eastAsia="標楷體" w:hAnsi="標楷體"/>
          <w:color w:val="000000"/>
          <w:sz w:val="28"/>
          <w:szCs w:val="28"/>
        </w:rPr>
        <w:t>三十日</w:t>
      </w:r>
      <w:r>
        <w:rPr>
          <w:rFonts w:ascii="標楷體" w:eastAsia="標楷體" w:hAnsi="標楷體"/>
          <w:sz w:val="28"/>
          <w:szCs w:val="28"/>
        </w:rPr>
        <w:t>計算。</w:t>
      </w:r>
    </w:p>
    <w:p w:rsidR="00411C16" w:rsidRDefault="001235BB">
      <w:pPr>
        <w:pStyle w:val="Standard"/>
        <w:spacing w:line="460" w:lineRule="exact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退費計算方式：每月托育費</w:t>
      </w:r>
      <w:r>
        <w:rPr>
          <w:rFonts w:ascii="標楷體" w:eastAsia="標楷體" w:hAnsi="標楷體"/>
          <w:color w:val="000000"/>
          <w:sz w:val="28"/>
          <w:szCs w:val="28"/>
        </w:rPr>
        <w:t>x(</w:t>
      </w:r>
      <w:r>
        <w:rPr>
          <w:rFonts w:ascii="標楷體" w:eastAsia="標楷體" w:hAnsi="標楷體"/>
          <w:color w:val="000000"/>
          <w:sz w:val="28"/>
          <w:szCs w:val="28"/>
        </w:rPr>
        <w:t>未托育天數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>三十</w:t>
      </w:r>
      <w:r>
        <w:rPr>
          <w:rFonts w:ascii="標楷體" w:eastAsia="標楷體" w:hAnsi="標楷體"/>
          <w:color w:val="000000"/>
          <w:sz w:val="28"/>
          <w:szCs w:val="28"/>
        </w:rPr>
        <w:t>)=</w:t>
      </w:r>
      <w:r>
        <w:rPr>
          <w:rFonts w:ascii="標楷體" w:eastAsia="標楷體" w:hAnsi="標楷體"/>
          <w:color w:val="000000"/>
          <w:sz w:val="28"/>
          <w:szCs w:val="28"/>
        </w:rPr>
        <w:t>退費金額。</w:t>
      </w:r>
    </w:p>
    <w:p w:rsidR="00411C16" w:rsidRDefault="001235BB">
      <w:pPr>
        <w:pStyle w:val="Standard"/>
        <w:spacing w:line="460" w:lineRule="exact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托育契約有另行約定者，依托</w:t>
      </w:r>
      <w:r>
        <w:rPr>
          <w:rFonts w:ascii="標楷體" w:eastAsia="標楷體" w:hAnsi="標楷體"/>
          <w:color w:val="000000"/>
          <w:sz w:val="28"/>
          <w:szCs w:val="28"/>
        </w:rPr>
        <w:t>育契約內容退費。</w:t>
      </w:r>
    </w:p>
    <w:p w:rsidR="00411C16" w:rsidRDefault="001235BB">
      <w:pPr>
        <w:pStyle w:val="Standard"/>
        <w:pageBreakBefore/>
        <w:spacing w:line="480" w:lineRule="exact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附表</w:t>
      </w:r>
    </w:p>
    <w:p w:rsidR="00411C16" w:rsidRDefault="001235BB">
      <w:pPr>
        <w:pStyle w:val="Standard"/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單位：新臺幣元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2196"/>
        <w:gridCol w:w="2194"/>
        <w:gridCol w:w="1280"/>
        <w:gridCol w:w="1231"/>
      </w:tblGrid>
      <w:tr w:rsidR="00411C16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行政區域</w:t>
            </w:r>
          </w:p>
        </w:tc>
        <w:tc>
          <w:tcPr>
            <w:tcW w:w="21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日間托育費</w:t>
            </w:r>
          </w:p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不含副食品費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全日托育費</w:t>
            </w:r>
          </w:p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不含副食品費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副食品費</w:t>
            </w:r>
          </w:p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746"/>
          <w:jc w:val="center"/>
        </w:trPr>
        <w:tc>
          <w:tcPr>
            <w:tcW w:w="1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21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日間托育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全日托育</w:t>
            </w:r>
          </w:p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東區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ㄧ萬三千元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二萬二千五百元</w:t>
            </w:r>
          </w:p>
        </w:tc>
        <w:tc>
          <w:tcPr>
            <w:tcW w:w="12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ㄧ千元</w:t>
            </w:r>
          </w:p>
        </w:tc>
        <w:tc>
          <w:tcPr>
            <w:tcW w:w="1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二千元</w:t>
            </w:r>
          </w:p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南區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ㄧ萬三千元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中區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ㄧ萬三千元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南屯區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ㄧ萬四千元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西屯區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ㄧ萬四千元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西區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ㄧ萬四千元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北屯區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ㄧ萬四千元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北區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ㄧ萬四千元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大肚區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ㄧ萬二千五百元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梧棲區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ㄧ萬二千五百元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清水區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ㄧ萬二千五百元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大甲區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ㄧ萬二千五百元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沙鹿區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ㄧ萬三千元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大安區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ㄧ萬二千五百元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外埔區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ㄧ萬二千五百元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龍井區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ㄧ萬三千元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豐原區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ㄧ萬三千元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東勢區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ㄧ萬二千五百元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神岡區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ㄧ萬二千元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大雅區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ㄧ萬三千元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后里區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ㄧ萬三千元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石岡區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ㄧ萬二千五百元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新社區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ㄧ萬二千五百元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和平區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ㄧ萬二千元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潭子區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ㄧ萬三千元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太平區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ㄧ萬三千元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霧峰區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ㄧ萬二千元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烏日區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ㄧ萬三千元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大里區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ㄧ萬三千元</w:t>
            </w: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  <w:tc>
          <w:tcPr>
            <w:tcW w:w="1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1235BB"/>
        </w:tc>
      </w:tr>
      <w:tr w:rsidR="00411C1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6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11C16" w:rsidRDefault="001235BB">
            <w:pPr>
              <w:pStyle w:val="Standard"/>
              <w:spacing w:line="480" w:lineRule="exac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註：本表之日間托育費、全日托育費及副食品費收費金額為上限。</w:t>
            </w:r>
          </w:p>
        </w:tc>
      </w:tr>
    </w:tbl>
    <w:p w:rsidR="00411C16" w:rsidRDefault="00411C16">
      <w:pPr>
        <w:pStyle w:val="Standard"/>
        <w:spacing w:before="240" w:line="480" w:lineRule="exact"/>
        <w:ind w:left="480"/>
      </w:pPr>
    </w:p>
    <w:sectPr w:rsidR="00411C16">
      <w:pgSz w:w="11906" w:h="16838"/>
      <w:pgMar w:top="1418" w:right="1418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BB" w:rsidRDefault="001235BB">
      <w:r>
        <w:separator/>
      </w:r>
    </w:p>
  </w:endnote>
  <w:endnote w:type="continuationSeparator" w:id="0">
    <w:p w:rsidR="001235BB" w:rsidRDefault="0012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BB" w:rsidRDefault="001235BB">
      <w:r>
        <w:rPr>
          <w:color w:val="000000"/>
        </w:rPr>
        <w:separator/>
      </w:r>
    </w:p>
  </w:footnote>
  <w:footnote w:type="continuationSeparator" w:id="0">
    <w:p w:rsidR="001235BB" w:rsidRDefault="0012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123"/>
    <w:multiLevelType w:val="multilevel"/>
    <w:tmpl w:val="D1E0F62C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A5F8F"/>
    <w:multiLevelType w:val="multilevel"/>
    <w:tmpl w:val="79924436"/>
    <w:styleLink w:val="WWNum14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0C6112"/>
    <w:multiLevelType w:val="multilevel"/>
    <w:tmpl w:val="53FC60B4"/>
    <w:styleLink w:val="WWNum15"/>
    <w:lvl w:ilvl="0">
      <w:start w:val="1"/>
      <w:numFmt w:val="japaneseCounting"/>
      <w:lvlText w:val="%1、"/>
      <w:lvlJc w:val="left"/>
      <w:pPr>
        <w:ind w:left="1440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1504F9F"/>
    <w:multiLevelType w:val="multilevel"/>
    <w:tmpl w:val="94D66A78"/>
    <w:styleLink w:val="WWNum13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523CD0"/>
    <w:multiLevelType w:val="multilevel"/>
    <w:tmpl w:val="5504DF9A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EB6830"/>
    <w:multiLevelType w:val="multilevel"/>
    <w:tmpl w:val="77D22398"/>
    <w:styleLink w:val="WWNum16"/>
    <w:lvl w:ilvl="0">
      <w:start w:val="1"/>
      <w:numFmt w:val="japaneseCounting"/>
      <w:lvlText w:val="(%1)"/>
      <w:lvlJc w:val="left"/>
      <w:pPr>
        <w:ind w:left="722" w:hanging="480"/>
      </w:pPr>
      <w:rPr>
        <w:rFonts w:eastAsia="標楷體"/>
        <w:sz w:val="24"/>
      </w:rPr>
    </w:lvl>
    <w:lvl w:ilvl="1">
      <w:start w:val="1"/>
      <w:numFmt w:val="ideographTraditional"/>
      <w:lvlText w:val="%2、"/>
      <w:lvlJc w:val="left"/>
      <w:pPr>
        <w:ind w:left="1202" w:hanging="480"/>
      </w:pPr>
    </w:lvl>
    <w:lvl w:ilvl="2">
      <w:start w:val="1"/>
      <w:numFmt w:val="lowerRoman"/>
      <w:lvlText w:val="%3."/>
      <w:lvlJc w:val="right"/>
      <w:pPr>
        <w:ind w:left="1682" w:hanging="480"/>
      </w:pPr>
    </w:lvl>
    <w:lvl w:ilvl="3">
      <w:start w:val="1"/>
      <w:numFmt w:val="decimal"/>
      <w:lvlText w:val="%4."/>
      <w:lvlJc w:val="left"/>
      <w:pPr>
        <w:ind w:left="2162" w:hanging="480"/>
      </w:pPr>
    </w:lvl>
    <w:lvl w:ilvl="4">
      <w:start w:val="1"/>
      <w:numFmt w:val="ideographTraditional"/>
      <w:lvlText w:val="%5、"/>
      <w:lvlJc w:val="left"/>
      <w:pPr>
        <w:ind w:left="2642" w:hanging="480"/>
      </w:pPr>
    </w:lvl>
    <w:lvl w:ilvl="5">
      <w:start w:val="1"/>
      <w:numFmt w:val="lowerRoman"/>
      <w:lvlText w:val="%6."/>
      <w:lvlJc w:val="right"/>
      <w:pPr>
        <w:ind w:left="3122" w:hanging="480"/>
      </w:pPr>
    </w:lvl>
    <w:lvl w:ilvl="6">
      <w:start w:val="1"/>
      <w:numFmt w:val="decimal"/>
      <w:lvlText w:val="%7."/>
      <w:lvlJc w:val="left"/>
      <w:pPr>
        <w:ind w:left="3602" w:hanging="480"/>
      </w:pPr>
    </w:lvl>
    <w:lvl w:ilvl="7">
      <w:start w:val="1"/>
      <w:numFmt w:val="ideographTraditional"/>
      <w:lvlText w:val="%8、"/>
      <w:lvlJc w:val="left"/>
      <w:pPr>
        <w:ind w:left="4082" w:hanging="480"/>
      </w:pPr>
    </w:lvl>
    <w:lvl w:ilvl="8">
      <w:start w:val="1"/>
      <w:numFmt w:val="lowerRoman"/>
      <w:lvlText w:val="%9."/>
      <w:lvlJc w:val="right"/>
      <w:pPr>
        <w:ind w:left="4562" w:hanging="480"/>
      </w:pPr>
    </w:lvl>
  </w:abstractNum>
  <w:abstractNum w:abstractNumId="6" w15:restartNumberingAfterBreak="0">
    <w:nsid w:val="1F0F4424"/>
    <w:multiLevelType w:val="multilevel"/>
    <w:tmpl w:val="D2905B6E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D71ABB"/>
    <w:multiLevelType w:val="multilevel"/>
    <w:tmpl w:val="53181598"/>
    <w:styleLink w:val="WWNum10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F014448"/>
    <w:multiLevelType w:val="multilevel"/>
    <w:tmpl w:val="93605730"/>
    <w:styleLink w:val="WWNum9"/>
    <w:lvl w:ilvl="0">
      <w:start w:val="1"/>
      <w:numFmt w:val="japaneseCounting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8174C18"/>
    <w:multiLevelType w:val="multilevel"/>
    <w:tmpl w:val="0A34C056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7F527C"/>
    <w:multiLevelType w:val="multilevel"/>
    <w:tmpl w:val="44000F22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7C4518"/>
    <w:multiLevelType w:val="multilevel"/>
    <w:tmpl w:val="E32A61B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61165988"/>
    <w:multiLevelType w:val="multilevel"/>
    <w:tmpl w:val="13E48C64"/>
    <w:styleLink w:val="WWNum8"/>
    <w:lvl w:ilvl="0">
      <w:start w:val="1"/>
      <w:numFmt w:val="japaneseCounting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438135A"/>
    <w:multiLevelType w:val="multilevel"/>
    <w:tmpl w:val="2EF03BD6"/>
    <w:styleLink w:val="WWNum11"/>
    <w:lvl w:ilvl="0">
      <w:start w:val="1"/>
      <w:numFmt w:val="japaneseCounting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66CB59A8"/>
    <w:multiLevelType w:val="multilevel"/>
    <w:tmpl w:val="A4FAA004"/>
    <w:styleLink w:val="WWNum12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EA2122E"/>
    <w:multiLevelType w:val="multilevel"/>
    <w:tmpl w:val="52A025EA"/>
    <w:styleLink w:val="WWNum6"/>
    <w:lvl w:ilvl="0">
      <w:start w:val="1"/>
      <w:numFmt w:val="japaneseCounting"/>
      <w:lvlText w:val="%1、"/>
      <w:lvlJc w:val="left"/>
      <w:pPr>
        <w:ind w:left="480" w:hanging="480"/>
      </w:pPr>
      <w:rPr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6E3823"/>
    <w:multiLevelType w:val="multilevel"/>
    <w:tmpl w:val="A804529C"/>
    <w:styleLink w:val="WWNum7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5"/>
  </w:num>
  <w:num w:numId="8">
    <w:abstractNumId w:val="16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14"/>
  </w:num>
  <w:num w:numId="14">
    <w:abstractNumId w:val="3"/>
  </w:num>
  <w:num w:numId="15">
    <w:abstractNumId w:val="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11C16"/>
    <w:rsid w:val="001235BB"/>
    <w:rsid w:val="00411C16"/>
    <w:rsid w:val="007A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869EF-1D42-4961-B12C-E1466A0D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3"/>
        <w:sz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40" w:lineRule="exact"/>
      <w:jc w:val="both"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6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note text"/>
    <w:basedOn w:val="Standard"/>
    <w:pPr>
      <w:jc w:val="left"/>
    </w:pPr>
    <w:rPr>
      <w:sz w:val="20"/>
      <w:szCs w:val="20"/>
    </w:rPr>
  </w:style>
  <w:style w:type="paragraph" w:styleId="a8">
    <w:name w:val="Balloon Text"/>
    <w:basedOn w:val="Standard"/>
    <w:pPr>
      <w:spacing w:line="240" w:lineRule="auto"/>
    </w:pPr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</w:style>
  <w:style w:type="character" w:customStyle="1" w:styleId="a9">
    <w:name w:val="頁尾 字元"/>
    <w:rPr>
      <w:kern w:val="3"/>
    </w:rPr>
  </w:style>
  <w:style w:type="character" w:customStyle="1" w:styleId="aa">
    <w:name w:val="註腳文字 字元"/>
    <w:rPr>
      <w:kern w:val="3"/>
    </w:rPr>
  </w:style>
  <w:style w:type="character" w:styleId="ab">
    <w:name w:val="footnote reference"/>
    <w:rPr>
      <w:position w:val="0"/>
      <w:vertAlign w:val="superscript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ListLabel1">
    <w:name w:val="ListLabel 1"/>
    <w:rPr>
      <w:sz w:val="28"/>
      <w:lang w:val="en-US"/>
    </w:rPr>
  </w:style>
  <w:style w:type="character" w:customStyle="1" w:styleId="ListLabel2">
    <w:name w:val="ListLabel 2"/>
    <w:rPr>
      <w:sz w:val="28"/>
    </w:rPr>
  </w:style>
  <w:style w:type="character" w:customStyle="1" w:styleId="ListLabel3">
    <w:name w:val="ListLabel 3"/>
    <w:rPr>
      <w:rFonts w:eastAsia="標楷體"/>
      <w:sz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二、修正行政規則草案之格式及體例（範例）</dc:title>
  <dc:creator>User</dc:creator>
  <cp:lastModifiedBy>施右容</cp:lastModifiedBy>
  <cp:revision>2</cp:revision>
  <cp:lastPrinted>2016-01-21T09:13:00Z</cp:lastPrinted>
  <dcterms:created xsi:type="dcterms:W3CDTF">2020-02-10T03:59:00Z</dcterms:created>
  <dcterms:modified xsi:type="dcterms:W3CDTF">2020-02-10T03:59:00Z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NONE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