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conformance="strict">
  <w:body>
    <w:p w:rsidR="006658B8" w:rsidRDefault="006658B8" w:rsidP="00576B04">
      <w:pPr>
        <w:widowControl/>
        <w:spacing w:beforeLines="100" w:before="18pt"/>
        <w:jc w:val="both"/>
        <w:rPr>
          <w:rFonts w:ascii="Times New Roman" w:eastAsia="標楷體" w:hAnsi="Times New Roman"/>
          <w:sz w:val="40"/>
          <w:szCs w:val="40"/>
        </w:rPr>
      </w:pPr>
      <w:r w:rsidRPr="006658B8">
        <w:rPr>
          <w:rFonts w:ascii="Times New Roman" w:eastAsia="標楷體" w:hAnsi="Times New Roman" w:hint="eastAsia"/>
          <w:sz w:val="40"/>
          <w:szCs w:val="40"/>
        </w:rPr>
        <w:t>臺中市實施都市計畫容積移轉審查許可條件及作業要點第十五點修正總說明</w:t>
      </w:r>
    </w:p>
    <w:p w:rsidR="006658B8" w:rsidRPr="006658B8" w:rsidRDefault="006658B8" w:rsidP="006658B8">
      <w:pPr>
        <w:widowControl/>
        <w:spacing w:line="23pt" w:lineRule="exact"/>
        <w:ind w:firstLineChars="200" w:firstLine="28pt"/>
        <w:jc w:val="both"/>
        <w:rPr>
          <w:rFonts w:ascii="Times New Roman" w:eastAsia="標楷體" w:hAnsi="Times New Roman"/>
          <w:bCs/>
          <w:sz w:val="28"/>
          <w:szCs w:val="28"/>
        </w:rPr>
      </w:pPr>
      <w:r w:rsidRPr="006658B8">
        <w:rPr>
          <w:rFonts w:ascii="Times New Roman" w:eastAsia="標楷體" w:hAnsi="Times New Roman" w:hint="eastAsia"/>
          <w:bCs/>
          <w:sz w:val="28"/>
          <w:szCs w:val="28"/>
        </w:rPr>
        <w:t>臺中市政府（以下簡稱本府）為審查都市計畫容積移轉申請案件，前</w:t>
      </w:r>
      <w:r w:rsidR="009434D7">
        <w:rPr>
          <w:rFonts w:ascii="Times New Roman" w:eastAsia="標楷體" w:hAnsi="Times New Roman" w:hint="eastAsia"/>
          <w:bCs/>
          <w:sz w:val="28"/>
          <w:szCs w:val="28"/>
        </w:rPr>
        <w:t>依</w:t>
      </w:r>
      <w:r w:rsidRPr="006658B8">
        <w:rPr>
          <w:rFonts w:ascii="Times New Roman" w:eastAsia="標楷體" w:hAnsi="Times New Roman" w:hint="eastAsia"/>
          <w:bCs/>
          <w:sz w:val="28"/>
          <w:szCs w:val="28"/>
        </w:rPr>
        <w:t>都市計畫容積移轉實施辦法第四條規定，於一百年一月二十六日訂定「臺中市實施都市計畫容積移轉審查許可條件及作業要點」，作為辦理容積移轉執行準據，其後歷經九次修正，最近一次修正發布日期為一百零七年六月十二日。</w:t>
      </w:r>
    </w:p>
    <w:p w:rsidR="00E42289" w:rsidRPr="007C5A22" w:rsidRDefault="006658B8" w:rsidP="006658B8">
      <w:pPr>
        <w:widowControl/>
        <w:spacing w:line="23pt" w:lineRule="exact"/>
        <w:ind w:firstLineChars="200" w:firstLine="28pt"/>
        <w:jc w:val="both"/>
        <w:rPr>
          <w:rFonts w:ascii="Times New Roman" w:eastAsia="標楷體" w:hAnsi="Times New Roman"/>
          <w:bCs/>
          <w:sz w:val="28"/>
          <w:szCs w:val="28"/>
        </w:rPr>
      </w:pPr>
      <w:r w:rsidRPr="006658B8">
        <w:rPr>
          <w:rFonts w:ascii="Times New Roman" w:eastAsia="標楷體" w:hAnsi="Times New Roman" w:hint="eastAsia"/>
          <w:bCs/>
          <w:sz w:val="28"/>
          <w:szCs w:val="28"/>
        </w:rPr>
        <w:t>有關臺中市實施都市計畫容積移轉審查及作業要點第十五點規定，原規範接受基地應自基地境界線</w:t>
      </w:r>
      <w:r w:rsidRPr="006658B8">
        <w:rPr>
          <w:rFonts w:ascii="Times New Roman" w:eastAsia="標楷體" w:hAnsi="Times New Roman" w:hint="eastAsia"/>
          <w:bCs/>
          <w:sz w:val="28"/>
          <w:szCs w:val="28"/>
        </w:rPr>
        <w:t>(</w:t>
      </w:r>
      <w:r w:rsidRPr="006658B8">
        <w:rPr>
          <w:rFonts w:ascii="Times New Roman" w:eastAsia="標楷體" w:hAnsi="Times New Roman" w:hint="eastAsia"/>
          <w:bCs/>
          <w:sz w:val="28"/>
          <w:szCs w:val="28"/>
        </w:rPr>
        <w:t>不含經指定為建築線之基地線</w:t>
      </w:r>
      <w:r w:rsidRPr="006658B8">
        <w:rPr>
          <w:rFonts w:ascii="Times New Roman" w:eastAsia="標楷體" w:hAnsi="Times New Roman" w:hint="eastAsia"/>
          <w:bCs/>
          <w:sz w:val="28"/>
          <w:szCs w:val="28"/>
        </w:rPr>
        <w:t>)</w:t>
      </w:r>
      <w:r w:rsidRPr="006658B8">
        <w:rPr>
          <w:rFonts w:ascii="Times New Roman" w:eastAsia="標楷體" w:hAnsi="Times New Roman" w:hint="eastAsia"/>
          <w:bCs/>
          <w:sz w:val="28"/>
          <w:szCs w:val="28"/>
        </w:rPr>
        <w:t>退縮淨寬</w:t>
      </w:r>
      <w:r>
        <w:rPr>
          <w:rFonts w:ascii="Times New Roman" w:eastAsia="標楷體" w:hAnsi="Times New Roman" w:hint="eastAsia"/>
          <w:bCs/>
          <w:sz w:val="28"/>
          <w:szCs w:val="28"/>
        </w:rPr>
        <w:t>三</w:t>
      </w:r>
      <w:r w:rsidRPr="006658B8">
        <w:rPr>
          <w:rFonts w:ascii="Times New Roman" w:eastAsia="標楷體" w:hAnsi="Times New Roman" w:hint="eastAsia"/>
          <w:bCs/>
          <w:sz w:val="28"/>
          <w:szCs w:val="28"/>
        </w:rPr>
        <w:t>公尺後建築之規定，</w:t>
      </w:r>
      <w:r w:rsidR="009434D7">
        <w:rPr>
          <w:rFonts w:ascii="Times New Roman" w:eastAsia="標楷體" w:hAnsi="Times New Roman" w:hint="eastAsia"/>
          <w:bCs/>
          <w:sz w:val="28"/>
          <w:szCs w:val="28"/>
        </w:rPr>
        <w:t>現</w:t>
      </w:r>
      <w:r w:rsidRPr="006658B8">
        <w:rPr>
          <w:rFonts w:ascii="Times New Roman" w:eastAsia="標楷體" w:hAnsi="Times New Roman" w:hint="eastAsia"/>
          <w:bCs/>
          <w:sz w:val="28"/>
          <w:szCs w:val="28"/>
        </w:rPr>
        <w:t>為簡化管制措施、統一建築管理原則，並同時滿足退縮規定，爰</w:t>
      </w:r>
      <w:r w:rsidR="009434D7">
        <w:rPr>
          <w:rFonts w:ascii="Times New Roman" w:eastAsia="標楷體" w:hAnsi="Times New Roman" w:hint="eastAsia"/>
          <w:bCs/>
          <w:sz w:val="28"/>
          <w:szCs w:val="28"/>
        </w:rPr>
        <w:t>修正第十五點</w:t>
      </w:r>
      <w:r w:rsidRPr="006658B8">
        <w:rPr>
          <w:rFonts w:ascii="Times New Roman" w:eastAsia="標楷體" w:hAnsi="Times New Roman" w:hint="eastAsia"/>
          <w:bCs/>
          <w:sz w:val="28"/>
          <w:szCs w:val="28"/>
        </w:rPr>
        <w:t>。</w:t>
      </w:r>
    </w:p>
    <w:p w:rsidR="00E42289" w:rsidRPr="007C5A22" w:rsidRDefault="006658B8" w:rsidP="00E42289">
      <w:pPr>
        <w:pageBreakBefore/>
        <w:widowControl/>
        <w:jc w:val="both"/>
        <w:rPr>
          <w:rFonts w:ascii="Times New Roman" w:eastAsia="標楷體" w:hAnsi="Times New Roman"/>
          <w:b/>
          <w:bCs/>
          <w:sz w:val="28"/>
          <w:szCs w:val="28"/>
        </w:rPr>
      </w:pPr>
      <w:r w:rsidRPr="006658B8">
        <w:rPr>
          <w:rFonts w:ascii="Times New Roman" w:eastAsia="標楷體" w:hAnsi="Times New Roman" w:hint="eastAsia"/>
          <w:sz w:val="40"/>
          <w:szCs w:val="40"/>
        </w:rPr>
        <w:lastRenderedPageBreak/>
        <w:t>臺中市實施都市計畫容積移轉審查許可條件及作業要點第十五點修正</w:t>
      </w:r>
      <w:r w:rsidR="00E42289" w:rsidRPr="007C5A22">
        <w:rPr>
          <w:rFonts w:ascii="Times New Roman" w:eastAsia="標楷體" w:hAnsi="Times New Roman"/>
          <w:sz w:val="40"/>
          <w:szCs w:val="40"/>
        </w:rPr>
        <w:t>對照表</w:t>
      </w:r>
    </w:p>
    <w:tbl>
      <w:tblPr>
        <w:tblW w:w="107.16%" w:type="pct"/>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1" w:firstColumn="1" w:lastColumn="1" w:noHBand="0" w:noVBand="0"/>
      </w:tblPr>
      <w:tblGrid>
        <w:gridCol w:w="3135"/>
        <w:gridCol w:w="3136"/>
        <w:gridCol w:w="3134"/>
      </w:tblGrid>
      <w:tr w:rsidR="008203E0" w:rsidRPr="007C5A22" w:rsidTr="00AA4634">
        <w:tc>
          <w:tcPr>
            <w:tcW w:w="33.34%" w:type="pct"/>
          </w:tcPr>
          <w:p w:rsidR="00E42289" w:rsidRPr="007C5A22" w:rsidRDefault="00E42289" w:rsidP="00F533B3">
            <w:pPr>
              <w:widowControl/>
              <w:jc w:val="center"/>
              <w:rPr>
                <w:rFonts w:ascii="Times New Roman" w:eastAsia="標楷體" w:hAnsi="Times New Roman"/>
                <w:szCs w:val="24"/>
              </w:rPr>
            </w:pPr>
            <w:r w:rsidRPr="007C5A22">
              <w:rPr>
                <w:rFonts w:ascii="Times New Roman" w:eastAsia="標楷體" w:hAnsi="Times New Roman"/>
                <w:szCs w:val="24"/>
              </w:rPr>
              <w:t>修正規定</w:t>
            </w:r>
          </w:p>
        </w:tc>
        <w:tc>
          <w:tcPr>
            <w:tcW w:w="33.34%" w:type="pct"/>
          </w:tcPr>
          <w:p w:rsidR="00E42289" w:rsidRPr="007C5A22" w:rsidRDefault="00E42289" w:rsidP="00F533B3">
            <w:pPr>
              <w:widowControl/>
              <w:jc w:val="center"/>
              <w:rPr>
                <w:rFonts w:ascii="Times New Roman" w:eastAsia="標楷體" w:hAnsi="Times New Roman"/>
                <w:szCs w:val="24"/>
              </w:rPr>
            </w:pPr>
            <w:r w:rsidRPr="007C5A22">
              <w:rPr>
                <w:rFonts w:ascii="Times New Roman" w:eastAsia="標楷體" w:hAnsi="Times New Roman"/>
                <w:szCs w:val="24"/>
              </w:rPr>
              <w:t>現行規定</w:t>
            </w:r>
          </w:p>
        </w:tc>
        <w:tc>
          <w:tcPr>
            <w:tcW w:w="33.34%" w:type="pct"/>
          </w:tcPr>
          <w:p w:rsidR="00E42289" w:rsidRPr="007C5A22" w:rsidRDefault="00E42289" w:rsidP="00F533B3">
            <w:pPr>
              <w:widowControl/>
              <w:jc w:val="center"/>
              <w:rPr>
                <w:rFonts w:ascii="Times New Roman" w:eastAsia="標楷體" w:hAnsi="Times New Roman"/>
                <w:szCs w:val="24"/>
              </w:rPr>
            </w:pPr>
            <w:r w:rsidRPr="007C5A22">
              <w:rPr>
                <w:rFonts w:ascii="Times New Roman" w:eastAsia="標楷體" w:hAnsi="Times New Roman"/>
                <w:szCs w:val="24"/>
              </w:rPr>
              <w:t>說明</w:t>
            </w:r>
          </w:p>
        </w:tc>
      </w:tr>
      <w:tr w:rsidR="008203E0" w:rsidRPr="006658B8" w:rsidTr="00AA4634">
        <w:trPr>
          <w:trHeight w:val="1683"/>
        </w:trPr>
        <w:tc>
          <w:tcPr>
            <w:tcW w:w="33.34%" w:type="pct"/>
          </w:tcPr>
          <w:p w:rsidR="006658B8" w:rsidRPr="006658B8" w:rsidRDefault="006658B8" w:rsidP="006658B8">
            <w:pPr>
              <w:pStyle w:val="Web"/>
              <w:spacing w:before="0pt" w:beforeAutospacing="0" w:after="0pt" w:afterAutospacing="0" w:line="20pt" w:lineRule="exact"/>
              <w:ind w:start="36.85pt" w:hangingChars="307" w:hanging="36.85pt"/>
              <w:jc w:val="both"/>
              <w:rPr>
                <w:rFonts w:ascii="標楷體" w:eastAsia="標楷體" w:hAnsi="標楷體" w:cs="Times New Roman"/>
                <w:kern w:val="2"/>
              </w:rPr>
            </w:pPr>
            <w:r w:rsidRPr="006658B8">
              <w:rPr>
                <w:rFonts w:ascii="標楷體" w:eastAsia="標楷體" w:hAnsi="標楷體" w:cs="Times New Roman" w:hint="eastAsia"/>
                <w:kern w:val="2"/>
              </w:rPr>
              <w:t>十五、接受基地應自基地境界線（不含經指定為建築線之基地線）至少退縮淨寬三公尺後建築。</w:t>
            </w:r>
          </w:p>
          <w:p w:rsidR="006658B8" w:rsidRPr="006658B8" w:rsidRDefault="006658B8" w:rsidP="006658B8">
            <w:pPr>
              <w:pStyle w:val="Web"/>
              <w:spacing w:before="0pt" w:beforeAutospacing="0" w:after="0pt" w:afterAutospacing="0" w:line="20pt" w:lineRule="exact"/>
              <w:ind w:startChars="295" w:start="35.40pt"/>
              <w:jc w:val="both"/>
              <w:rPr>
                <w:rFonts w:ascii="標楷體" w:eastAsia="標楷體" w:hAnsi="標楷體" w:cs="Times New Roman"/>
                <w:kern w:val="2"/>
              </w:rPr>
            </w:pPr>
            <w:r w:rsidRPr="006658B8">
              <w:rPr>
                <w:rFonts w:ascii="標楷體" w:eastAsia="標楷體" w:hAnsi="標楷體" w:cs="Times New Roman" w:hint="eastAsia"/>
                <w:kern w:val="2"/>
              </w:rPr>
              <w:t>前項三公尺退縮地除下列設施外，應予淨空，不得設置任何構造物：</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rPr>
            </w:pPr>
            <w:r w:rsidRPr="006658B8">
              <w:rPr>
                <w:rFonts w:ascii="標楷體" w:eastAsia="標楷體" w:hAnsi="標楷體" w:cs="Times New Roman" w:hint="eastAsia"/>
                <w:kern w:val="2"/>
              </w:rPr>
              <w:t>（一）地下</w:t>
            </w:r>
            <w:r w:rsidRPr="006658B8">
              <w:rPr>
                <w:rFonts w:ascii="標楷體" w:eastAsia="標楷體" w:hAnsi="標楷體" w:cs="Times New Roman" w:hint="eastAsia"/>
                <w:kern w:val="2"/>
                <w:u w:val="single"/>
              </w:rPr>
              <w:t>或地面層</w:t>
            </w:r>
            <w:r w:rsidRPr="006658B8">
              <w:rPr>
                <w:rFonts w:ascii="標楷體" w:eastAsia="標楷體" w:hAnsi="標楷體" w:cs="Times New Roman" w:hint="eastAsia"/>
                <w:kern w:val="2"/>
              </w:rPr>
              <w:t>停車場出入車道。</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rPr>
            </w:pPr>
            <w:r w:rsidRPr="006658B8">
              <w:rPr>
                <w:rFonts w:ascii="標楷體" w:eastAsia="標楷體" w:hAnsi="標楷體" w:cs="Times New Roman" w:hint="eastAsia"/>
                <w:kern w:val="2"/>
              </w:rPr>
              <w:t>（二）設置於建築物第二、三樓層、與鄰地連接並供開放公眾通行之人工地盤或架空走廊，並經都設會審議通過者。</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rPr>
            </w:pPr>
            <w:r w:rsidRPr="006658B8">
              <w:rPr>
                <w:rFonts w:ascii="標楷體" w:eastAsia="標楷體" w:hAnsi="標楷體" w:cs="Times New Roman" w:hint="eastAsia"/>
                <w:kern w:val="2"/>
              </w:rPr>
              <w:t>（三）依建築基地圍牆設置原則及細部計畫規定設置圍牆。</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rPr>
            </w:pPr>
            <w:r w:rsidRPr="006658B8">
              <w:rPr>
                <w:rFonts w:ascii="標楷體" w:eastAsia="標楷體" w:hAnsi="標楷體" w:cs="Times New Roman" w:hint="eastAsia"/>
                <w:kern w:val="2"/>
              </w:rPr>
              <w:t>（四）高度一點二公尺以下</w:t>
            </w:r>
            <w:r w:rsidRPr="006658B8">
              <w:rPr>
                <w:rFonts w:ascii="標楷體" w:eastAsia="標楷體" w:hAnsi="標楷體" w:cs="Times New Roman" w:hint="eastAsia"/>
                <w:kern w:val="2"/>
                <w:u w:val="single"/>
              </w:rPr>
              <w:t>不計入建築面積之構造設施</w:t>
            </w:r>
            <w:r w:rsidRPr="006658B8">
              <w:rPr>
                <w:rFonts w:ascii="標楷體" w:eastAsia="標楷體" w:hAnsi="標楷體" w:cs="Times New Roman" w:hint="eastAsia"/>
                <w:kern w:val="2"/>
              </w:rPr>
              <w:t>，</w:t>
            </w:r>
            <w:r w:rsidRPr="006658B8">
              <w:rPr>
                <w:rFonts w:ascii="標楷體" w:eastAsia="標楷體" w:hAnsi="標楷體" w:cs="Times New Roman" w:hint="eastAsia"/>
                <w:kern w:val="2"/>
                <w:u w:val="single"/>
              </w:rPr>
              <w:t>及</w:t>
            </w:r>
            <w:r w:rsidRPr="006658B8">
              <w:rPr>
                <w:rFonts w:ascii="標楷體" w:eastAsia="標楷體" w:hAnsi="標楷體" w:cs="Times New Roman" w:hint="eastAsia"/>
                <w:kern w:val="2"/>
              </w:rPr>
              <w:t>距離地界二公尺以上之地下室進排風口。</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rPr>
            </w:pPr>
            <w:r w:rsidRPr="006658B8">
              <w:rPr>
                <w:rFonts w:ascii="標楷體" w:eastAsia="標楷體" w:hAnsi="標楷體" w:cs="Times New Roman" w:hint="eastAsia"/>
                <w:kern w:val="2"/>
              </w:rPr>
              <w:lastRenderedPageBreak/>
              <w:t>（五）深度五十公分以內之雨遮。</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u w:val="single"/>
              </w:rPr>
            </w:pPr>
            <w:r w:rsidRPr="006658B8">
              <w:rPr>
                <w:rFonts w:ascii="標楷體" w:eastAsia="標楷體" w:hAnsi="標楷體" w:cs="Times New Roman" w:hint="eastAsia"/>
                <w:kern w:val="2"/>
                <w:u w:val="single"/>
              </w:rPr>
              <w:t>（六）其他經都設會或臺中市政府建造執照預審</w:t>
            </w:r>
            <w:r w:rsidR="009434D7">
              <w:rPr>
                <w:rFonts w:ascii="標楷體" w:eastAsia="標楷體" w:hAnsi="標楷體" w:cs="Times New Roman" w:hint="eastAsia"/>
                <w:kern w:val="2"/>
                <w:u w:val="single"/>
              </w:rPr>
              <w:t>委員</w:t>
            </w:r>
            <w:r w:rsidRPr="006658B8">
              <w:rPr>
                <w:rFonts w:ascii="標楷體" w:eastAsia="標楷體" w:hAnsi="標楷體" w:cs="Times New Roman" w:hint="eastAsia"/>
                <w:kern w:val="2"/>
                <w:u w:val="single"/>
              </w:rPr>
              <w:t>會審議通過</w:t>
            </w:r>
            <w:r w:rsidR="009434D7">
              <w:rPr>
                <w:rFonts w:ascii="標楷體" w:eastAsia="標楷體" w:hAnsi="標楷體" w:cs="Times New Roman" w:hint="eastAsia"/>
                <w:kern w:val="2"/>
                <w:u w:val="single"/>
              </w:rPr>
              <w:t>之設施</w:t>
            </w:r>
            <w:r w:rsidRPr="006658B8">
              <w:rPr>
                <w:rFonts w:ascii="標楷體" w:eastAsia="標楷體" w:hAnsi="標楷體" w:cs="Times New Roman" w:hint="eastAsia"/>
                <w:kern w:val="2"/>
                <w:u w:val="single"/>
              </w:rPr>
              <w:t>。</w:t>
            </w:r>
          </w:p>
          <w:p w:rsidR="006658B8" w:rsidRDefault="006658B8" w:rsidP="006658B8">
            <w:pPr>
              <w:pStyle w:val="Web"/>
              <w:spacing w:before="0pt" w:beforeAutospacing="0" w:after="0pt" w:afterAutospacing="0" w:line="20pt" w:lineRule="exact"/>
              <w:ind w:startChars="295" w:start="35.40pt"/>
              <w:jc w:val="both"/>
              <w:rPr>
                <w:rFonts w:ascii="標楷體" w:eastAsia="標楷體" w:hAnsi="標楷體" w:cs="Times New Roman"/>
                <w:kern w:val="2"/>
              </w:rPr>
            </w:pPr>
            <w:r w:rsidRPr="006658B8">
              <w:rPr>
                <w:rFonts w:ascii="標楷體" w:eastAsia="標楷體" w:hAnsi="標楷體" w:cs="Times New Roman" w:hint="eastAsia"/>
                <w:kern w:val="2"/>
              </w:rPr>
              <w:t>第一項三公尺退縮地與建築退縮地重疊</w:t>
            </w:r>
            <w:r w:rsidR="00AA4634" w:rsidRPr="00AA4634">
              <w:rPr>
                <w:rFonts w:ascii="標楷體" w:eastAsia="標楷體" w:hAnsi="標楷體" w:cs="Times New Roman" w:hint="eastAsia"/>
                <w:kern w:val="2"/>
                <w:u w:val="single"/>
              </w:rPr>
              <w:t>者</w:t>
            </w:r>
            <w:r w:rsidRPr="006658B8">
              <w:rPr>
                <w:rFonts w:ascii="標楷體" w:eastAsia="標楷體" w:hAnsi="標楷體" w:cs="Times New Roman" w:hint="eastAsia"/>
                <w:kern w:val="2"/>
              </w:rPr>
              <w:t>，應以建築退縮地之規定為主。</w:t>
            </w:r>
          </w:p>
          <w:p w:rsidR="009434D7" w:rsidRPr="009434D7" w:rsidRDefault="009434D7" w:rsidP="006658B8">
            <w:pPr>
              <w:pStyle w:val="Web"/>
              <w:spacing w:before="0pt" w:beforeAutospacing="0" w:after="0pt" w:afterAutospacing="0" w:line="20pt" w:lineRule="exact"/>
              <w:ind w:startChars="295" w:start="35.40pt"/>
              <w:jc w:val="both"/>
              <w:rPr>
                <w:rFonts w:ascii="標楷體" w:eastAsia="標楷體" w:hAnsi="標楷體" w:cs="Times New Roman"/>
                <w:kern w:val="2"/>
                <w:u w:val="single"/>
              </w:rPr>
            </w:pPr>
            <w:r w:rsidRPr="009434D7">
              <w:rPr>
                <w:rFonts w:ascii="標楷體" w:eastAsia="標楷體" w:hAnsi="標楷體" w:cs="Times New Roman" w:hint="eastAsia"/>
                <w:kern w:val="2"/>
                <w:u w:val="single"/>
              </w:rPr>
              <w:t>設置第二項第三款之圍牆者，應自圍牆投影線後再退縮三公尺建築。</w:t>
            </w:r>
          </w:p>
        </w:tc>
        <w:tc>
          <w:tcPr>
            <w:tcW w:w="33.34%" w:type="pct"/>
          </w:tcPr>
          <w:p w:rsidR="006658B8" w:rsidRPr="006658B8" w:rsidRDefault="006658B8" w:rsidP="006658B8">
            <w:pPr>
              <w:pStyle w:val="Web"/>
              <w:spacing w:before="0pt" w:beforeAutospacing="0" w:after="0pt" w:afterAutospacing="0" w:line="20pt" w:lineRule="exact"/>
              <w:ind w:start="36.85pt" w:hangingChars="307" w:hanging="36.85pt"/>
              <w:jc w:val="both"/>
              <w:rPr>
                <w:rFonts w:ascii="標楷體" w:eastAsia="標楷體" w:hAnsi="標楷體" w:cs="Times New Roman"/>
                <w:kern w:val="2"/>
              </w:rPr>
            </w:pPr>
            <w:r w:rsidRPr="006658B8">
              <w:rPr>
                <w:rFonts w:ascii="標楷體" w:eastAsia="標楷體" w:hAnsi="標楷體" w:cs="Times New Roman" w:hint="eastAsia"/>
                <w:kern w:val="2"/>
              </w:rPr>
              <w:lastRenderedPageBreak/>
              <w:t>十五、接受基地應自基地境界線（不含經指定為建築線之基地線）至少退縮淨寬三公尺後建築。</w:t>
            </w:r>
          </w:p>
          <w:p w:rsidR="006658B8" w:rsidRPr="006658B8" w:rsidRDefault="006658B8" w:rsidP="006658B8">
            <w:pPr>
              <w:pStyle w:val="Web"/>
              <w:spacing w:before="0pt" w:beforeAutospacing="0" w:after="0pt" w:afterAutospacing="0" w:line="20pt" w:lineRule="exact"/>
              <w:ind w:startChars="295" w:start="35.40pt"/>
              <w:jc w:val="both"/>
              <w:rPr>
                <w:rFonts w:ascii="標楷體" w:eastAsia="標楷體" w:hAnsi="標楷體" w:cs="Times New Roman"/>
                <w:kern w:val="2"/>
              </w:rPr>
            </w:pPr>
            <w:r w:rsidRPr="006658B8">
              <w:rPr>
                <w:rFonts w:ascii="標楷體" w:eastAsia="標楷體" w:hAnsi="標楷體" w:cs="Times New Roman" w:hint="eastAsia"/>
                <w:kern w:val="2"/>
              </w:rPr>
              <w:t>前項三公尺退縮地除下列設施外，應予淨空，不得設置任何構造物：</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rPr>
            </w:pPr>
            <w:r w:rsidRPr="006658B8">
              <w:rPr>
                <w:rFonts w:ascii="標楷體" w:eastAsia="標楷體" w:hAnsi="標楷體" w:cs="Times New Roman" w:hint="eastAsia"/>
                <w:kern w:val="2"/>
              </w:rPr>
              <w:t>（一）地下停車場出入車道。</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rPr>
            </w:pPr>
            <w:r w:rsidRPr="006658B8">
              <w:rPr>
                <w:rFonts w:ascii="標楷體" w:eastAsia="標楷體" w:hAnsi="標楷體" w:cs="Times New Roman" w:hint="eastAsia"/>
                <w:kern w:val="2"/>
              </w:rPr>
              <w:t>（二）設置於建築物第二、三樓層、與鄰地連接並供開放公眾通行之人工地盤或架空走廊，並經都設會審議通過者。</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rPr>
            </w:pPr>
            <w:r w:rsidRPr="006658B8">
              <w:rPr>
                <w:rFonts w:ascii="標楷體" w:eastAsia="標楷體" w:hAnsi="標楷體" w:cs="Times New Roman" w:hint="eastAsia"/>
                <w:kern w:val="2"/>
              </w:rPr>
              <w:t>（三）依建築基地圍牆設置原則及細部計畫規定設置圍牆</w:t>
            </w:r>
            <w:r w:rsidRPr="009434D7">
              <w:rPr>
                <w:rFonts w:ascii="標楷體" w:eastAsia="標楷體" w:hAnsi="標楷體" w:cs="Times New Roman" w:hint="eastAsia"/>
                <w:kern w:val="2"/>
                <w:u w:val="single"/>
              </w:rPr>
              <w:t>者，惟應自圍牆投影線後再退縮三公尺建築</w:t>
            </w:r>
            <w:r w:rsidRPr="006658B8">
              <w:rPr>
                <w:rFonts w:ascii="標楷體" w:eastAsia="標楷體" w:hAnsi="標楷體" w:cs="Times New Roman" w:hint="eastAsia"/>
                <w:kern w:val="2"/>
              </w:rPr>
              <w:t>。</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rPr>
            </w:pPr>
            <w:r w:rsidRPr="006658B8">
              <w:rPr>
                <w:rFonts w:ascii="標楷體" w:eastAsia="標楷體" w:hAnsi="標楷體" w:cs="Times New Roman" w:hint="eastAsia"/>
                <w:kern w:val="2"/>
              </w:rPr>
              <w:t>（四）高度一點二公尺以下</w:t>
            </w:r>
            <w:r w:rsidRPr="006658B8">
              <w:rPr>
                <w:rFonts w:ascii="標楷體" w:eastAsia="標楷體" w:hAnsi="標楷體" w:cs="Times New Roman" w:hint="eastAsia"/>
                <w:kern w:val="2"/>
                <w:u w:val="single"/>
              </w:rPr>
              <w:t>之花臺、景觀水池、步道、階梯及欄杆</w:t>
            </w:r>
            <w:r w:rsidRPr="006658B8">
              <w:rPr>
                <w:rFonts w:ascii="標楷體" w:eastAsia="標楷體" w:hAnsi="標楷體" w:cs="Times New Roman" w:hint="eastAsia"/>
                <w:kern w:val="2"/>
              </w:rPr>
              <w:t>，距</w:t>
            </w:r>
            <w:r w:rsidRPr="006658B8">
              <w:rPr>
                <w:rFonts w:ascii="標楷體" w:eastAsia="標楷體" w:hAnsi="標楷體" w:cs="Times New Roman" w:hint="eastAsia"/>
                <w:kern w:val="2"/>
              </w:rPr>
              <w:lastRenderedPageBreak/>
              <w:t>離地界二公尺以上之地下室進排風口。</w:t>
            </w:r>
          </w:p>
          <w:p w:rsidR="006658B8" w:rsidRPr="006658B8" w:rsidRDefault="006658B8" w:rsidP="006658B8">
            <w:pPr>
              <w:pStyle w:val="Web"/>
              <w:spacing w:before="0pt" w:beforeAutospacing="0" w:after="0pt" w:afterAutospacing="0" w:line="20pt" w:lineRule="exact"/>
              <w:ind w:startChars="238" w:start="64.80pt" w:hangingChars="302" w:hanging="36.25pt"/>
              <w:jc w:val="both"/>
              <w:rPr>
                <w:rFonts w:ascii="標楷體" w:eastAsia="標楷體" w:hAnsi="標楷體" w:cs="Times New Roman"/>
                <w:kern w:val="2"/>
              </w:rPr>
            </w:pPr>
            <w:r w:rsidRPr="006658B8">
              <w:rPr>
                <w:rFonts w:ascii="標楷體" w:eastAsia="標楷體" w:hAnsi="標楷體" w:cs="Times New Roman" w:hint="eastAsia"/>
                <w:kern w:val="2"/>
              </w:rPr>
              <w:t>（五）深度五十公分以內之雨遮。</w:t>
            </w:r>
          </w:p>
          <w:p w:rsidR="006658B8" w:rsidRPr="006658B8" w:rsidRDefault="006658B8" w:rsidP="006658B8">
            <w:pPr>
              <w:pStyle w:val="Web"/>
              <w:spacing w:before="0pt" w:beforeAutospacing="0" w:after="0pt" w:afterAutospacing="0" w:line="20pt" w:lineRule="exact"/>
              <w:ind w:startChars="295" w:start="35.40pt"/>
              <w:jc w:val="both"/>
              <w:rPr>
                <w:rFonts w:ascii="標楷體" w:eastAsia="標楷體" w:hAnsi="標楷體" w:cs="Times New Roman"/>
                <w:kern w:val="2"/>
              </w:rPr>
            </w:pPr>
            <w:r w:rsidRPr="006658B8">
              <w:rPr>
                <w:rFonts w:ascii="標楷體" w:eastAsia="標楷體" w:hAnsi="標楷體" w:cs="Times New Roman" w:hint="eastAsia"/>
                <w:kern w:val="2"/>
              </w:rPr>
              <w:t>第一項三公尺退縮地</w:t>
            </w:r>
            <w:r w:rsidRPr="00AA4634">
              <w:rPr>
                <w:rFonts w:ascii="標楷體" w:eastAsia="標楷體" w:hAnsi="標楷體" w:cs="Times New Roman" w:hint="eastAsia"/>
                <w:kern w:val="2"/>
                <w:u w:val="single"/>
              </w:rPr>
              <w:t>如</w:t>
            </w:r>
            <w:r w:rsidRPr="006658B8">
              <w:rPr>
                <w:rFonts w:ascii="標楷體" w:eastAsia="標楷體" w:hAnsi="標楷體" w:cs="Times New Roman" w:hint="eastAsia"/>
                <w:kern w:val="2"/>
              </w:rPr>
              <w:t>與建築退縮地重疊，應以建築退縮地之規定為主。</w:t>
            </w:r>
          </w:p>
        </w:tc>
        <w:tc>
          <w:tcPr>
            <w:tcW w:w="33.34%" w:type="pct"/>
          </w:tcPr>
          <w:p w:rsidR="006658B8" w:rsidRPr="006658B8" w:rsidRDefault="006658B8" w:rsidP="006658B8">
            <w:pPr>
              <w:pStyle w:val="Web"/>
              <w:numPr>
                <w:ilvl w:val="0"/>
                <w:numId w:val="8"/>
              </w:numPr>
              <w:spacing w:before="0pt" w:beforeAutospacing="0" w:after="0pt" w:afterAutospacing="0" w:line="20pt" w:lineRule="exact"/>
              <w:ind w:start="30.75pt" w:hanging="30.75pt"/>
              <w:jc w:val="both"/>
              <w:rPr>
                <w:rFonts w:ascii="標楷體" w:eastAsia="標楷體" w:hAnsi="標楷體" w:cs="Times New Roman"/>
                <w:kern w:val="2"/>
              </w:rPr>
            </w:pPr>
            <w:r w:rsidRPr="006658B8">
              <w:rPr>
                <w:rFonts w:ascii="標楷體" w:eastAsia="標楷體" w:hAnsi="標楷體" w:cs="Times New Roman" w:hint="eastAsia"/>
                <w:kern w:val="2"/>
              </w:rPr>
              <w:lastRenderedPageBreak/>
              <w:t>第二項第一款增列通往地面層出入車道許可設施。</w:t>
            </w:r>
          </w:p>
          <w:p w:rsidR="006658B8" w:rsidRPr="006658B8" w:rsidRDefault="006658B8" w:rsidP="006658B8">
            <w:pPr>
              <w:pStyle w:val="Web"/>
              <w:numPr>
                <w:ilvl w:val="0"/>
                <w:numId w:val="8"/>
              </w:numPr>
              <w:spacing w:before="0pt" w:beforeAutospacing="0" w:after="0pt" w:afterAutospacing="0" w:line="20pt" w:lineRule="exact"/>
              <w:ind w:start="30.75pt" w:hanging="30.75pt"/>
              <w:jc w:val="both"/>
              <w:rPr>
                <w:rFonts w:ascii="標楷體" w:eastAsia="標楷體" w:hAnsi="標楷體" w:cs="Times New Roman"/>
                <w:kern w:val="2"/>
              </w:rPr>
            </w:pPr>
            <w:r w:rsidRPr="006658B8">
              <w:rPr>
                <w:rFonts w:ascii="標楷體" w:eastAsia="標楷體" w:hAnsi="標楷體" w:cs="Times New Roman" w:hint="eastAsia"/>
                <w:kern w:val="2"/>
              </w:rPr>
              <w:t>第二項第四款配合建築管理執行原則，簡化文字。</w:t>
            </w:r>
          </w:p>
          <w:p w:rsidR="006658B8" w:rsidRPr="006658B8" w:rsidRDefault="006658B8" w:rsidP="006658B8">
            <w:pPr>
              <w:pStyle w:val="Web"/>
              <w:numPr>
                <w:ilvl w:val="0"/>
                <w:numId w:val="8"/>
              </w:numPr>
              <w:spacing w:before="0pt" w:beforeAutospacing="0" w:after="0pt" w:afterAutospacing="0" w:line="20pt" w:lineRule="exact"/>
              <w:ind w:start="30.75pt" w:hanging="30.75pt"/>
              <w:jc w:val="both"/>
              <w:rPr>
                <w:rFonts w:ascii="標楷體" w:eastAsia="標楷體" w:hAnsi="標楷體" w:cs="Times New Roman"/>
                <w:kern w:val="2"/>
              </w:rPr>
            </w:pPr>
            <w:r w:rsidRPr="006658B8">
              <w:rPr>
                <w:rFonts w:ascii="標楷體" w:eastAsia="標楷體" w:hAnsi="標楷體" w:cs="Times New Roman" w:hint="eastAsia"/>
                <w:kern w:val="2"/>
              </w:rPr>
              <w:t>增訂第二項第六款其他項目設施授權得經審議許可機制。</w:t>
            </w:r>
          </w:p>
        </w:tc>
      </w:tr>
    </w:tbl>
    <w:p w:rsidR="00E42289" w:rsidRPr="007C5A22" w:rsidRDefault="008203E0" w:rsidP="00E42289">
      <w:pPr>
        <w:pageBreakBefore/>
        <w:widowControl/>
        <w:ind w:endChars="-59" w:end="-7.10pt"/>
        <w:jc w:val="both"/>
        <w:rPr>
          <w:rFonts w:ascii="標楷體" w:eastAsia="標楷體" w:hAnsi="標楷體"/>
          <w:sz w:val="40"/>
          <w:szCs w:val="40"/>
        </w:rPr>
      </w:pPr>
      <w:r w:rsidRPr="008203E0">
        <w:rPr>
          <w:rFonts w:ascii="標楷體" w:eastAsia="標楷體" w:hAnsi="標楷體" w:hint="eastAsia"/>
          <w:bCs/>
          <w:sz w:val="40"/>
          <w:szCs w:val="40"/>
        </w:rPr>
        <w:lastRenderedPageBreak/>
        <w:t>臺中市實施都市計畫容積移轉審查許可條件及作業要點第十五點</w:t>
      </w:r>
    </w:p>
    <w:p w:rsidR="00AA4634" w:rsidRPr="00AA4634" w:rsidRDefault="00AA4634" w:rsidP="00AA4634">
      <w:pPr>
        <w:widowControl/>
        <w:tabs>
          <w:tab w:val="start" w:pos="42.55pt"/>
        </w:tabs>
        <w:spacing w:line="23pt" w:lineRule="exact"/>
        <w:ind w:start="42.40pt" w:hangingChars="303" w:hanging="42.40pt"/>
        <w:jc w:val="both"/>
        <w:rPr>
          <w:rFonts w:ascii="Times New Roman" w:eastAsia="標楷體" w:hAnsi="Times New Roman"/>
          <w:sz w:val="28"/>
          <w:szCs w:val="28"/>
        </w:rPr>
      </w:pPr>
      <w:r w:rsidRPr="00AA4634">
        <w:rPr>
          <w:rFonts w:ascii="Times New Roman" w:eastAsia="標楷體" w:hAnsi="Times New Roman" w:hint="eastAsia"/>
          <w:sz w:val="28"/>
          <w:szCs w:val="28"/>
        </w:rPr>
        <w:t>十五、接受基地應自基地境界線（不含經指定為建築線之基地線）至少退縮淨寬三公尺後建築。</w:t>
      </w:r>
    </w:p>
    <w:p w:rsidR="00AA4634" w:rsidRPr="00AA4634" w:rsidRDefault="00AA4634" w:rsidP="00AA4634">
      <w:pPr>
        <w:widowControl/>
        <w:spacing w:line="23pt" w:lineRule="exact"/>
        <w:ind w:start="42pt"/>
        <w:jc w:val="both"/>
        <w:rPr>
          <w:rFonts w:ascii="Times New Roman" w:eastAsia="標楷體" w:hAnsi="Times New Roman"/>
          <w:sz w:val="28"/>
          <w:szCs w:val="28"/>
        </w:rPr>
      </w:pPr>
      <w:r w:rsidRPr="00AA4634">
        <w:rPr>
          <w:rFonts w:ascii="Times New Roman" w:eastAsia="標楷體" w:hAnsi="Times New Roman" w:hint="eastAsia"/>
          <w:sz w:val="28"/>
          <w:szCs w:val="28"/>
        </w:rPr>
        <w:t>前項三公尺退縮地除下列設施外，應予淨空，不得設置任何構造物：</w:t>
      </w:r>
    </w:p>
    <w:p w:rsidR="00AA4634" w:rsidRPr="00AA4634" w:rsidRDefault="00AA4634" w:rsidP="00AA4634">
      <w:pPr>
        <w:widowControl/>
        <w:tabs>
          <w:tab w:val="start" w:pos="85.05pt"/>
        </w:tabs>
        <w:spacing w:line="23pt" w:lineRule="exact"/>
        <w:ind w:startChars="350" w:start="85pt" w:hangingChars="307" w:hanging="43pt"/>
        <w:jc w:val="both"/>
        <w:rPr>
          <w:rFonts w:ascii="Times New Roman" w:eastAsia="標楷體" w:hAnsi="Times New Roman"/>
          <w:sz w:val="28"/>
          <w:szCs w:val="28"/>
        </w:rPr>
      </w:pPr>
      <w:r w:rsidRPr="00AA4634">
        <w:rPr>
          <w:rFonts w:ascii="Times New Roman" w:eastAsia="標楷體" w:hAnsi="Times New Roman" w:hint="eastAsia"/>
          <w:sz w:val="28"/>
          <w:szCs w:val="28"/>
        </w:rPr>
        <w:t>（一）地下或地面層停車場出入車道。</w:t>
      </w:r>
    </w:p>
    <w:p w:rsidR="00AA4634" w:rsidRPr="00AA4634" w:rsidRDefault="00AA4634" w:rsidP="00AA4634">
      <w:pPr>
        <w:widowControl/>
        <w:tabs>
          <w:tab w:val="start" w:pos="85.05pt"/>
        </w:tabs>
        <w:spacing w:line="23pt" w:lineRule="exact"/>
        <w:ind w:startChars="350" w:start="85pt" w:hangingChars="307" w:hanging="43pt"/>
        <w:jc w:val="both"/>
        <w:rPr>
          <w:rFonts w:ascii="Times New Roman" w:eastAsia="標楷體" w:hAnsi="Times New Roman"/>
          <w:sz w:val="28"/>
          <w:szCs w:val="28"/>
        </w:rPr>
      </w:pPr>
      <w:r w:rsidRPr="00AA4634">
        <w:rPr>
          <w:rFonts w:ascii="Times New Roman" w:eastAsia="標楷體" w:hAnsi="Times New Roman" w:hint="eastAsia"/>
          <w:sz w:val="28"/>
          <w:szCs w:val="28"/>
        </w:rPr>
        <w:t>（二）設置於建築物第二、三樓層、與鄰地連接並供開放公眾通行之人工地盤或架空走廊，並經都設會審議通過者。</w:t>
      </w:r>
    </w:p>
    <w:p w:rsidR="00AA4634" w:rsidRPr="00AA4634" w:rsidRDefault="00AA4634" w:rsidP="00AA4634">
      <w:pPr>
        <w:widowControl/>
        <w:tabs>
          <w:tab w:val="start" w:pos="85.05pt"/>
        </w:tabs>
        <w:spacing w:line="23pt" w:lineRule="exact"/>
        <w:ind w:startChars="350" w:start="85pt" w:hangingChars="307" w:hanging="43pt"/>
        <w:jc w:val="both"/>
        <w:rPr>
          <w:rFonts w:ascii="Times New Roman" w:eastAsia="標楷體" w:hAnsi="Times New Roman"/>
          <w:sz w:val="28"/>
          <w:szCs w:val="28"/>
        </w:rPr>
      </w:pPr>
      <w:r w:rsidRPr="00AA4634">
        <w:rPr>
          <w:rFonts w:ascii="Times New Roman" w:eastAsia="標楷體" w:hAnsi="Times New Roman" w:hint="eastAsia"/>
          <w:sz w:val="28"/>
          <w:szCs w:val="28"/>
        </w:rPr>
        <w:t>（三）依建築基地圍牆設置原則及細部計畫規定設置圍牆。</w:t>
      </w:r>
    </w:p>
    <w:p w:rsidR="00AA4634" w:rsidRPr="00AA4634" w:rsidRDefault="00AA4634" w:rsidP="00AA4634">
      <w:pPr>
        <w:widowControl/>
        <w:tabs>
          <w:tab w:val="start" w:pos="85.05pt"/>
        </w:tabs>
        <w:spacing w:line="23pt" w:lineRule="exact"/>
        <w:ind w:startChars="350" w:start="85pt" w:hangingChars="307" w:hanging="43pt"/>
        <w:jc w:val="both"/>
        <w:rPr>
          <w:rFonts w:ascii="Times New Roman" w:eastAsia="標楷體" w:hAnsi="Times New Roman"/>
          <w:sz w:val="28"/>
          <w:szCs w:val="28"/>
        </w:rPr>
      </w:pPr>
      <w:r w:rsidRPr="00AA4634">
        <w:rPr>
          <w:rFonts w:ascii="Times New Roman" w:eastAsia="標楷體" w:hAnsi="Times New Roman" w:hint="eastAsia"/>
          <w:sz w:val="28"/>
          <w:szCs w:val="28"/>
        </w:rPr>
        <w:t>（四）高度一點二公尺以下不計入建築面積之構造設施，及距離地界二公尺以上之地下室進排風口。</w:t>
      </w:r>
    </w:p>
    <w:p w:rsidR="00AA4634" w:rsidRPr="00AA4634" w:rsidRDefault="00AA4634" w:rsidP="00AA4634">
      <w:pPr>
        <w:widowControl/>
        <w:tabs>
          <w:tab w:val="start" w:pos="85.05pt"/>
        </w:tabs>
        <w:spacing w:line="23pt" w:lineRule="exact"/>
        <w:ind w:startChars="350" w:start="85pt" w:hangingChars="307" w:hanging="43pt"/>
        <w:jc w:val="both"/>
        <w:rPr>
          <w:rFonts w:ascii="Times New Roman" w:eastAsia="標楷體" w:hAnsi="Times New Roman"/>
          <w:sz w:val="28"/>
          <w:szCs w:val="28"/>
        </w:rPr>
      </w:pPr>
      <w:r w:rsidRPr="00AA4634">
        <w:rPr>
          <w:rFonts w:ascii="Times New Roman" w:eastAsia="標楷體" w:hAnsi="Times New Roman" w:hint="eastAsia"/>
          <w:sz w:val="28"/>
          <w:szCs w:val="28"/>
        </w:rPr>
        <w:t>（五）深度五十公分以內之雨遮。</w:t>
      </w:r>
    </w:p>
    <w:p w:rsidR="00AA4634" w:rsidRPr="00AA4634" w:rsidRDefault="00AA4634" w:rsidP="00AA4634">
      <w:pPr>
        <w:widowControl/>
        <w:tabs>
          <w:tab w:val="start" w:pos="85.05pt"/>
        </w:tabs>
        <w:spacing w:line="23pt" w:lineRule="exact"/>
        <w:ind w:startChars="350" w:start="85pt" w:hangingChars="307" w:hanging="43pt"/>
        <w:jc w:val="both"/>
        <w:rPr>
          <w:rFonts w:ascii="Times New Roman" w:eastAsia="標楷體" w:hAnsi="Times New Roman"/>
          <w:sz w:val="28"/>
          <w:szCs w:val="28"/>
        </w:rPr>
      </w:pPr>
      <w:r w:rsidRPr="00AA4634">
        <w:rPr>
          <w:rFonts w:ascii="Times New Roman" w:eastAsia="標楷體" w:hAnsi="Times New Roman" w:hint="eastAsia"/>
          <w:sz w:val="28"/>
          <w:szCs w:val="28"/>
        </w:rPr>
        <w:t>（六）其他經都設會或臺中市政府建造執照預審委員會審議通過之設施。</w:t>
      </w:r>
    </w:p>
    <w:p w:rsidR="00AA4634" w:rsidRPr="00AA4634" w:rsidRDefault="00AA4634" w:rsidP="00AA4634">
      <w:pPr>
        <w:widowControl/>
        <w:spacing w:line="23pt" w:lineRule="exact"/>
        <w:ind w:start="42pt"/>
        <w:jc w:val="both"/>
        <w:rPr>
          <w:rFonts w:ascii="Times New Roman" w:eastAsia="標楷體" w:hAnsi="Times New Roman"/>
          <w:sz w:val="28"/>
          <w:szCs w:val="28"/>
        </w:rPr>
      </w:pPr>
      <w:r w:rsidRPr="00AA4634">
        <w:rPr>
          <w:rFonts w:ascii="Times New Roman" w:eastAsia="標楷體" w:hAnsi="Times New Roman" w:hint="eastAsia"/>
          <w:sz w:val="28"/>
          <w:szCs w:val="28"/>
        </w:rPr>
        <w:t>第一項三公尺退縮地與建築退縮地重疊者，應以建築退縮地之規定為主。</w:t>
      </w:r>
    </w:p>
    <w:p w:rsidR="00AA4634" w:rsidRPr="00AA4634" w:rsidRDefault="00AA4634" w:rsidP="00AA4634">
      <w:pPr>
        <w:widowControl/>
        <w:spacing w:line="23pt" w:lineRule="exact"/>
        <w:ind w:start="42pt"/>
        <w:jc w:val="both"/>
        <w:rPr>
          <w:rFonts w:ascii="Times New Roman" w:eastAsia="標楷體" w:hAnsi="Times New Roman"/>
          <w:sz w:val="28"/>
          <w:szCs w:val="28"/>
        </w:rPr>
      </w:pPr>
      <w:r w:rsidRPr="00AA4634">
        <w:rPr>
          <w:rFonts w:ascii="Times New Roman" w:eastAsia="標楷體" w:hAnsi="Times New Roman" w:hint="eastAsia"/>
          <w:sz w:val="28"/>
          <w:szCs w:val="28"/>
        </w:rPr>
        <w:t>設置第二項第三款之圍牆者，應自圍牆投影線後再退縮三公尺建築。</w:t>
      </w:r>
    </w:p>
    <w:sectPr w:rsidR="00AA4634" w:rsidRPr="00AA4634" w:rsidSect="00576B04">
      <w:pgSz w:w="595.30pt" w:h="841.90pt"/>
      <w:pgMar w:top="70.90pt" w:right="70.90pt" w:bottom="70.90pt" w:left="85.05pt" w:header="42.55pt" w:footer="49.60pt" w:gutter="0pt"/>
      <w:cols w:space="21.25pt"/>
      <w:docGrid w:type="lines" w:linePitch="360"/>
    </w:sectPr>
  </w:body>
</w:document>
</file>

<file path=word/endnotes.xml><?xml version="1.0" encoding="utf-8"?>
<w:endnotes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endnote w:type="separator" w:id="-1">
    <w:p w:rsidR="002A2BA2" w:rsidRDefault="002A2BA2" w:rsidP="000C1E68">
      <w:r>
        <w:separator/>
      </w:r>
    </w:p>
  </w:endnote>
  <w:endnote w:type="continuationSeparator" w:id="0">
    <w:p w:rsidR="002A2BA2" w:rsidRDefault="002A2BA2" w:rsidP="000C1E68">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font w:name="Times New Roman">
    <w:panose1 w:val="02020603050405020304"/>
    <w:charset w:characterSet="iso-8859-1"/>
    <w:family w:val="roman"/>
    <w:pitch w:val="variable"/>
    <w:sig w:usb0="E0002AFF" w:usb1="C0007841" w:usb2="00000009" w:usb3="00000000" w:csb0="000001FF" w:csb1="00000000"/>
  </w:font>
  <w:font w:name="Calibri">
    <w:panose1 w:val="020F0502020204030204"/>
    <w:charset w:characterSet="iso-8859-1"/>
    <w:family w:val="swiss"/>
    <w:pitch w:val="variable"/>
    <w:sig w:usb0="E00002FF" w:usb1="4000ACFF" w:usb2="00000001" w:usb3="00000000" w:csb0="0000019F" w:csb1="00000000"/>
  </w:font>
  <w:font w:name="新細明體">
    <w:altName w:val="PMingLiU"/>
    <w:panose1 w:val="02020500000000000000"/>
    <w:charset w:characterSet="Big5"/>
    <w:family w:val="roman"/>
    <w:pitch w:val="variable"/>
    <w:sig w:usb0="A00002FF" w:usb1="28CFFCFA" w:usb2="00000016" w:usb3="00000000" w:csb0="00100001" w:csb1="00000000"/>
  </w:font>
  <w:font w:name="Calibri Light">
    <w:panose1 w:val="020F0302020204030204"/>
    <w:charset w:characterSet="iso-8859-1"/>
    <w:family w:val="swiss"/>
    <w:pitch w:val="variable"/>
    <w:sig w:usb0="A00002EF" w:usb1="4000207B" w:usb2="00000000" w:usb3="00000000" w:csb0="0000019F" w:csb1="00000000"/>
  </w:font>
  <w:font w:name="標楷體">
    <w:panose1 w:val="03000509000000000000"/>
    <w:charset w:characterSet="Big5"/>
    <w:family w:val="script"/>
    <w:pitch w:val="fixed"/>
    <w:sig w:usb0="00000003" w:usb1="080E0000" w:usb2="00000016" w:usb3="00000000" w:csb0="00100001" w:csb1="00000000"/>
  </w:font>
</w:fonts>
</file>

<file path=word/footnotes.xml><?xml version="1.0" encoding="utf-8"?>
<w:footnotes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footnote w:type="separator" w:id="-1">
    <w:p w:rsidR="002A2BA2" w:rsidRDefault="002A2BA2" w:rsidP="000C1E68">
      <w:r>
        <w:separator/>
      </w:r>
    </w:p>
  </w:footnote>
  <w:footnote w:type="continuationSeparator" w:id="0">
    <w:p w:rsidR="002A2BA2" w:rsidRDefault="002A2BA2" w:rsidP="000C1E68">
      <w:r>
        <w:continuationSeparator/>
      </w:r>
    </w:p>
  </w:footnote>
</w:footnotes>
</file>

<file path=word/numbering.xml><?xml version="1.0" encoding="utf-8"?>
<w:numbering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pi="http://schemas.microsoft.com/office/word/2010/wordprocessingInk" xmlns:wne="http://schemas.microsoft.com/office/word/2006/wordml" mc:Ignorable="w14 w15 wne wp14">
  <w:abstractNum w:abstractNumId="0" w15:restartNumberingAfterBreak="0">
    <w:nsid w:val="13E57CDC"/>
    <w:multiLevelType w:val="hybridMultilevel"/>
    <w:tmpl w:val="3FEA47C8"/>
    <w:lvl w:ilvl="0" w:tplc="04090015">
      <w:start w:val="1"/>
      <w:numFmt w:val="taiwaneseCountingThousand"/>
      <w:lvlText w:val="%1、"/>
      <w:lvlJc w:val="start"/>
      <w:pPr>
        <w:ind w:start="24pt" w:hanging="24pt"/>
      </w:pPr>
      <w:rPr>
        <w:rFonts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1" w15:restartNumberingAfterBreak="0">
    <w:nsid w:val="2F9471A8"/>
    <w:multiLevelType w:val="hybridMultilevel"/>
    <w:tmpl w:val="5A1EAAFA"/>
    <w:lvl w:ilvl="0" w:tplc="557E1DBA">
      <w:start w:val="1"/>
      <w:numFmt w:val="taiwaneseCountingThousand"/>
      <w:lvlText w:val="（%1）"/>
      <w:lvlJc w:val="start"/>
      <w:pPr>
        <w:ind w:start="54pt" w:hanging="36pt"/>
      </w:pPr>
      <w:rPr>
        <w:rFonts w:hint="default"/>
      </w:rPr>
    </w:lvl>
    <w:lvl w:ilvl="1" w:tplc="9F46CBC0">
      <w:start w:val="1"/>
      <w:numFmt w:val="taiwaneseCountingThousand"/>
      <w:lvlText w:val="%2、"/>
      <w:lvlJc w:val="start"/>
      <w:pPr>
        <w:ind w:start="78pt" w:hanging="36pt"/>
      </w:pPr>
      <w:rPr>
        <w:rFonts w:hint="default"/>
        <w:lang w:val="en-US"/>
      </w:rPr>
    </w:lvl>
    <w:lvl w:ilvl="2" w:tplc="0409001B" w:tentative="1">
      <w:start w:val="1"/>
      <w:numFmt w:val="lowerRoman"/>
      <w:lvlText w:val="%3."/>
      <w:lvlJc w:val="end"/>
      <w:pPr>
        <w:ind w:start="90pt" w:hanging="24pt"/>
      </w:pPr>
    </w:lvl>
    <w:lvl w:ilvl="3" w:tplc="0409000F" w:tentative="1">
      <w:start w:val="1"/>
      <w:numFmt w:val="decimal"/>
      <w:lvlText w:val="%4."/>
      <w:lvlJc w:val="start"/>
      <w:pPr>
        <w:ind w:start="114pt" w:hanging="24pt"/>
      </w:pPr>
    </w:lvl>
    <w:lvl w:ilvl="4" w:tplc="04090019" w:tentative="1">
      <w:start w:val="1"/>
      <w:numFmt w:val="ideographTraditional"/>
      <w:lvlText w:val="%5、"/>
      <w:lvlJc w:val="start"/>
      <w:pPr>
        <w:ind w:start="138pt" w:hanging="24pt"/>
      </w:pPr>
    </w:lvl>
    <w:lvl w:ilvl="5" w:tplc="0409001B" w:tentative="1">
      <w:start w:val="1"/>
      <w:numFmt w:val="lowerRoman"/>
      <w:lvlText w:val="%6."/>
      <w:lvlJc w:val="end"/>
      <w:pPr>
        <w:ind w:start="162pt" w:hanging="24pt"/>
      </w:pPr>
    </w:lvl>
    <w:lvl w:ilvl="6" w:tplc="0409000F" w:tentative="1">
      <w:start w:val="1"/>
      <w:numFmt w:val="decimal"/>
      <w:lvlText w:val="%7."/>
      <w:lvlJc w:val="start"/>
      <w:pPr>
        <w:ind w:start="186pt" w:hanging="24pt"/>
      </w:pPr>
    </w:lvl>
    <w:lvl w:ilvl="7" w:tplc="04090019" w:tentative="1">
      <w:start w:val="1"/>
      <w:numFmt w:val="ideographTraditional"/>
      <w:lvlText w:val="%8、"/>
      <w:lvlJc w:val="start"/>
      <w:pPr>
        <w:ind w:start="210pt" w:hanging="24pt"/>
      </w:pPr>
    </w:lvl>
    <w:lvl w:ilvl="8" w:tplc="0409001B" w:tentative="1">
      <w:start w:val="1"/>
      <w:numFmt w:val="lowerRoman"/>
      <w:lvlText w:val="%9."/>
      <w:lvlJc w:val="end"/>
      <w:pPr>
        <w:ind w:start="234pt" w:hanging="24pt"/>
      </w:pPr>
    </w:lvl>
  </w:abstractNum>
  <w:abstractNum w:abstractNumId="2" w15:restartNumberingAfterBreak="0">
    <w:nsid w:val="4E2D5AAF"/>
    <w:multiLevelType w:val="hybridMultilevel"/>
    <w:tmpl w:val="5B7AAE74"/>
    <w:lvl w:ilvl="0" w:tplc="A8B49AF6">
      <w:start w:val="1"/>
      <w:numFmt w:val="taiwaneseCountingThousand"/>
      <w:lvlText w:val="（%1）"/>
      <w:lvlJc w:val="start"/>
      <w:pPr>
        <w:ind w:start="-1.85pt" w:hanging="40.50pt"/>
      </w:pPr>
      <w:rPr>
        <w:rFonts w:hint="default"/>
      </w:rPr>
    </w:lvl>
    <w:lvl w:ilvl="1" w:tplc="04090019" w:tentative="1">
      <w:start w:val="1"/>
      <w:numFmt w:val="ideographTraditional"/>
      <w:lvlText w:val="%2、"/>
      <w:lvlJc w:val="start"/>
      <w:pPr>
        <w:ind w:start="5.65pt" w:hanging="24pt"/>
      </w:pPr>
    </w:lvl>
    <w:lvl w:ilvl="2" w:tplc="0409001B" w:tentative="1">
      <w:start w:val="1"/>
      <w:numFmt w:val="lowerRoman"/>
      <w:lvlText w:val="%3."/>
      <w:lvlJc w:val="end"/>
      <w:pPr>
        <w:ind w:start="29.65pt" w:hanging="24pt"/>
      </w:pPr>
    </w:lvl>
    <w:lvl w:ilvl="3" w:tplc="0409000F" w:tentative="1">
      <w:start w:val="1"/>
      <w:numFmt w:val="decimal"/>
      <w:lvlText w:val="%4."/>
      <w:lvlJc w:val="start"/>
      <w:pPr>
        <w:ind w:start="53.65pt" w:hanging="24pt"/>
      </w:pPr>
    </w:lvl>
    <w:lvl w:ilvl="4" w:tplc="04090019" w:tentative="1">
      <w:start w:val="1"/>
      <w:numFmt w:val="ideographTraditional"/>
      <w:lvlText w:val="%5、"/>
      <w:lvlJc w:val="start"/>
      <w:pPr>
        <w:ind w:start="77.65pt" w:hanging="24pt"/>
      </w:pPr>
    </w:lvl>
    <w:lvl w:ilvl="5" w:tplc="0409001B" w:tentative="1">
      <w:start w:val="1"/>
      <w:numFmt w:val="lowerRoman"/>
      <w:lvlText w:val="%6."/>
      <w:lvlJc w:val="end"/>
      <w:pPr>
        <w:ind w:start="101.65pt" w:hanging="24pt"/>
      </w:pPr>
    </w:lvl>
    <w:lvl w:ilvl="6" w:tplc="0409000F" w:tentative="1">
      <w:start w:val="1"/>
      <w:numFmt w:val="decimal"/>
      <w:lvlText w:val="%7."/>
      <w:lvlJc w:val="start"/>
      <w:pPr>
        <w:ind w:start="125.65pt" w:hanging="24pt"/>
      </w:pPr>
    </w:lvl>
    <w:lvl w:ilvl="7" w:tplc="04090019" w:tentative="1">
      <w:start w:val="1"/>
      <w:numFmt w:val="ideographTraditional"/>
      <w:lvlText w:val="%8、"/>
      <w:lvlJc w:val="start"/>
      <w:pPr>
        <w:ind w:start="149.65pt" w:hanging="24pt"/>
      </w:pPr>
    </w:lvl>
    <w:lvl w:ilvl="8" w:tplc="0409001B" w:tentative="1">
      <w:start w:val="1"/>
      <w:numFmt w:val="lowerRoman"/>
      <w:lvlText w:val="%9."/>
      <w:lvlJc w:val="end"/>
      <w:pPr>
        <w:ind w:start="173.65pt" w:hanging="24pt"/>
      </w:pPr>
    </w:lvl>
  </w:abstractNum>
  <w:abstractNum w:abstractNumId="3" w15:restartNumberingAfterBreak="0">
    <w:nsid w:val="4EE43CEA"/>
    <w:multiLevelType w:val="hybridMultilevel"/>
    <w:tmpl w:val="5B7AAE74"/>
    <w:lvl w:ilvl="0" w:tplc="A8B49AF6">
      <w:start w:val="1"/>
      <w:numFmt w:val="taiwaneseCountingThousand"/>
      <w:lvlText w:val="（%1）"/>
      <w:lvlJc w:val="start"/>
      <w:pPr>
        <w:ind w:start="-1.85pt" w:hanging="40.50pt"/>
      </w:pPr>
      <w:rPr>
        <w:rFonts w:hint="default"/>
      </w:rPr>
    </w:lvl>
    <w:lvl w:ilvl="1" w:tplc="04090019" w:tentative="1">
      <w:start w:val="1"/>
      <w:numFmt w:val="ideographTraditional"/>
      <w:lvlText w:val="%2、"/>
      <w:lvlJc w:val="start"/>
      <w:pPr>
        <w:ind w:start="5.65pt" w:hanging="24pt"/>
      </w:pPr>
    </w:lvl>
    <w:lvl w:ilvl="2" w:tplc="0409001B" w:tentative="1">
      <w:start w:val="1"/>
      <w:numFmt w:val="lowerRoman"/>
      <w:lvlText w:val="%3."/>
      <w:lvlJc w:val="end"/>
      <w:pPr>
        <w:ind w:start="29.65pt" w:hanging="24pt"/>
      </w:pPr>
    </w:lvl>
    <w:lvl w:ilvl="3" w:tplc="0409000F" w:tentative="1">
      <w:start w:val="1"/>
      <w:numFmt w:val="decimal"/>
      <w:lvlText w:val="%4."/>
      <w:lvlJc w:val="start"/>
      <w:pPr>
        <w:ind w:start="53.65pt" w:hanging="24pt"/>
      </w:pPr>
    </w:lvl>
    <w:lvl w:ilvl="4" w:tplc="04090019" w:tentative="1">
      <w:start w:val="1"/>
      <w:numFmt w:val="ideographTraditional"/>
      <w:lvlText w:val="%5、"/>
      <w:lvlJc w:val="start"/>
      <w:pPr>
        <w:ind w:start="77.65pt" w:hanging="24pt"/>
      </w:pPr>
    </w:lvl>
    <w:lvl w:ilvl="5" w:tplc="0409001B" w:tentative="1">
      <w:start w:val="1"/>
      <w:numFmt w:val="lowerRoman"/>
      <w:lvlText w:val="%6."/>
      <w:lvlJc w:val="end"/>
      <w:pPr>
        <w:ind w:start="101.65pt" w:hanging="24pt"/>
      </w:pPr>
    </w:lvl>
    <w:lvl w:ilvl="6" w:tplc="0409000F" w:tentative="1">
      <w:start w:val="1"/>
      <w:numFmt w:val="decimal"/>
      <w:lvlText w:val="%7."/>
      <w:lvlJc w:val="start"/>
      <w:pPr>
        <w:ind w:start="125.65pt" w:hanging="24pt"/>
      </w:pPr>
    </w:lvl>
    <w:lvl w:ilvl="7" w:tplc="04090019" w:tentative="1">
      <w:start w:val="1"/>
      <w:numFmt w:val="ideographTraditional"/>
      <w:lvlText w:val="%8、"/>
      <w:lvlJc w:val="start"/>
      <w:pPr>
        <w:ind w:start="149.65pt" w:hanging="24pt"/>
      </w:pPr>
    </w:lvl>
    <w:lvl w:ilvl="8" w:tplc="0409001B" w:tentative="1">
      <w:start w:val="1"/>
      <w:numFmt w:val="lowerRoman"/>
      <w:lvlText w:val="%9."/>
      <w:lvlJc w:val="end"/>
      <w:pPr>
        <w:ind w:start="173.65pt" w:hanging="24pt"/>
      </w:pPr>
    </w:lvl>
  </w:abstractNum>
  <w:abstractNum w:abstractNumId="4" w15:restartNumberingAfterBreak="0">
    <w:nsid w:val="597067B9"/>
    <w:multiLevelType w:val="hybridMultilevel"/>
    <w:tmpl w:val="CC3E1E7C"/>
    <w:lvl w:ilvl="0" w:tplc="557E1DBA">
      <w:start w:val="1"/>
      <w:numFmt w:val="taiwaneseCountingThousand"/>
      <w:lvlText w:val="（%1）"/>
      <w:lvlJc w:val="start"/>
      <w:pPr>
        <w:ind w:start="54pt" w:hanging="36pt"/>
      </w:pPr>
      <w:rPr>
        <w:rFonts w:hint="default"/>
      </w:rPr>
    </w:lvl>
    <w:lvl w:ilvl="1" w:tplc="04090019" w:tentative="1">
      <w:start w:val="1"/>
      <w:numFmt w:val="ideographTraditional"/>
      <w:lvlText w:val="%2、"/>
      <w:lvlJc w:val="start"/>
      <w:pPr>
        <w:ind w:start="66pt" w:hanging="24pt"/>
      </w:pPr>
    </w:lvl>
    <w:lvl w:ilvl="2" w:tplc="0409001B" w:tentative="1">
      <w:start w:val="1"/>
      <w:numFmt w:val="lowerRoman"/>
      <w:lvlText w:val="%3."/>
      <w:lvlJc w:val="end"/>
      <w:pPr>
        <w:ind w:start="90pt" w:hanging="24pt"/>
      </w:pPr>
    </w:lvl>
    <w:lvl w:ilvl="3" w:tplc="0409000F" w:tentative="1">
      <w:start w:val="1"/>
      <w:numFmt w:val="decimal"/>
      <w:lvlText w:val="%4."/>
      <w:lvlJc w:val="start"/>
      <w:pPr>
        <w:ind w:start="114pt" w:hanging="24pt"/>
      </w:pPr>
    </w:lvl>
    <w:lvl w:ilvl="4" w:tplc="04090019" w:tentative="1">
      <w:start w:val="1"/>
      <w:numFmt w:val="ideographTraditional"/>
      <w:lvlText w:val="%5、"/>
      <w:lvlJc w:val="start"/>
      <w:pPr>
        <w:ind w:start="138pt" w:hanging="24pt"/>
      </w:pPr>
    </w:lvl>
    <w:lvl w:ilvl="5" w:tplc="0409001B" w:tentative="1">
      <w:start w:val="1"/>
      <w:numFmt w:val="lowerRoman"/>
      <w:lvlText w:val="%6."/>
      <w:lvlJc w:val="end"/>
      <w:pPr>
        <w:ind w:start="162pt" w:hanging="24pt"/>
      </w:pPr>
    </w:lvl>
    <w:lvl w:ilvl="6" w:tplc="0409000F" w:tentative="1">
      <w:start w:val="1"/>
      <w:numFmt w:val="decimal"/>
      <w:lvlText w:val="%7."/>
      <w:lvlJc w:val="start"/>
      <w:pPr>
        <w:ind w:start="186pt" w:hanging="24pt"/>
      </w:pPr>
    </w:lvl>
    <w:lvl w:ilvl="7" w:tplc="04090019" w:tentative="1">
      <w:start w:val="1"/>
      <w:numFmt w:val="ideographTraditional"/>
      <w:lvlText w:val="%8、"/>
      <w:lvlJc w:val="start"/>
      <w:pPr>
        <w:ind w:start="210pt" w:hanging="24pt"/>
      </w:pPr>
    </w:lvl>
    <w:lvl w:ilvl="8" w:tplc="0409001B" w:tentative="1">
      <w:start w:val="1"/>
      <w:numFmt w:val="lowerRoman"/>
      <w:lvlText w:val="%9."/>
      <w:lvlJc w:val="end"/>
      <w:pPr>
        <w:ind w:start="234pt" w:hanging="24pt"/>
      </w:pPr>
    </w:lvl>
  </w:abstractNum>
  <w:abstractNum w:abstractNumId="5" w15:restartNumberingAfterBreak="0">
    <w:nsid w:val="66D004AE"/>
    <w:multiLevelType w:val="hybridMultilevel"/>
    <w:tmpl w:val="9F5874CC"/>
    <w:lvl w:ilvl="0" w:tplc="04090015">
      <w:start w:val="1"/>
      <w:numFmt w:val="taiwaneseCountingThousand"/>
      <w:lvlText w:val="%1、"/>
      <w:lvlJc w:val="start"/>
      <w:pPr>
        <w:ind w:start="24pt" w:hanging="24pt"/>
      </w:pPr>
      <w:rPr>
        <w:rFonts w:hint="default"/>
      </w:rPr>
    </w:lvl>
    <w:lvl w:ilvl="1" w:tplc="169E04E4">
      <w:start w:val="1"/>
      <w:numFmt w:val="taiwaneseCountingThousand"/>
      <w:lvlText w:val="（%2）"/>
      <w:lvlJc w:val="start"/>
      <w:pPr>
        <w:ind w:start="60pt" w:hanging="36pt"/>
      </w:pPr>
      <w:rPr>
        <w:rFonts w:hint="default"/>
      </w:r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6" w15:restartNumberingAfterBreak="0">
    <w:nsid w:val="67F317CF"/>
    <w:multiLevelType w:val="hybridMultilevel"/>
    <w:tmpl w:val="5C9E76D8"/>
    <w:lvl w:ilvl="0" w:tplc="04090015">
      <w:start w:val="1"/>
      <w:numFmt w:val="taiwaneseCountingThousand"/>
      <w:lvlText w:val="%1、"/>
      <w:lvlJc w:val="start"/>
      <w:pPr>
        <w:ind w:start="24pt" w:hanging="24pt"/>
      </w:pPr>
      <w:rPr>
        <w:rFonts w:hint="default"/>
      </w:rPr>
    </w:lvl>
    <w:lvl w:ilvl="1" w:tplc="C61CA2B0">
      <w:start w:val="1"/>
      <w:numFmt w:val="taiwaneseCountingThousand"/>
      <w:lvlText w:val="（%2）"/>
      <w:lvlJc w:val="start"/>
      <w:pPr>
        <w:ind w:start="60pt" w:hanging="36pt"/>
      </w:pPr>
      <w:rPr>
        <w:rFonts w:hint="default"/>
      </w:r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abstractNum w:abstractNumId="7" w15:restartNumberingAfterBreak="0">
    <w:nsid w:val="6CB705C0"/>
    <w:multiLevelType w:val="hybridMultilevel"/>
    <w:tmpl w:val="7D56D6AE"/>
    <w:lvl w:ilvl="0" w:tplc="04090015">
      <w:start w:val="1"/>
      <w:numFmt w:val="taiwaneseCountingThousand"/>
      <w:lvlText w:val="%1、"/>
      <w:lvlJc w:val="start"/>
      <w:pPr>
        <w:ind w:start="24pt" w:hanging="24pt"/>
      </w:pPr>
      <w:rPr>
        <w:rFonts w:hint="default"/>
      </w:rPr>
    </w:lvl>
    <w:lvl w:ilvl="1" w:tplc="5210ADC8">
      <w:start w:val="1"/>
      <w:numFmt w:val="taiwaneseCountingThousand"/>
      <w:lvlText w:val="（%2）"/>
      <w:lvlJc w:val="start"/>
      <w:pPr>
        <w:ind w:start="60pt" w:hanging="36pt"/>
      </w:pPr>
      <w:rPr>
        <w:rFonts w:hint="default"/>
      </w:r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num w:numId="1">
    <w:abstractNumId w:val="5"/>
  </w:num>
  <w:num w:numId="2">
    <w:abstractNumId w:val="6"/>
  </w:num>
  <w:num w:numId="3">
    <w:abstractNumId w:val="7"/>
  </w:num>
  <w:num w:numId="4">
    <w:abstractNumId w:val="4"/>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sl="http://schemas.openxmlformats.org/schemaLibrary/2006/main" mc:Ignorable="w14 w15">
  <w:zoom w:percent="100%"/>
  <w:bordersDoNotSurroundHeader/>
  <w:bordersDoNotSurroundFooter/>
  <w:defaultTabStop w:val="24pt"/>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289"/>
    <w:rsid w:val="000C1E68"/>
    <w:rsid w:val="00141487"/>
    <w:rsid w:val="0015769B"/>
    <w:rsid w:val="002A2BA2"/>
    <w:rsid w:val="00541915"/>
    <w:rsid w:val="00576B04"/>
    <w:rsid w:val="006658B8"/>
    <w:rsid w:val="007009C7"/>
    <w:rsid w:val="008203E0"/>
    <w:rsid w:val="009434D7"/>
    <w:rsid w:val="00AA4634"/>
    <w:rsid w:val="00C63955"/>
    <w:rsid w:val="00CB1F64"/>
    <w:rsid w:val="00E42289"/>
    <w:rsid w:val="00E65E88"/>
    <w:rsid w:val="00F644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A684C268-BE7A-4090-9460-33B780A90AC4}"/>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3">
    <w:name w:val="heading 3"/>
    <w:basedOn w:val="a"/>
    <w:next w:val="a"/>
    <w:link w:val="30"/>
    <w:uiPriority w:val="9"/>
    <w:unhideWhenUsed/>
    <w:qFormat/>
    <w:rsid w:val="00E42289"/>
    <w:pPr>
      <w:keepNext/>
      <w:spacing w:line="36pt" w:lineRule="auto"/>
      <w:outlineLvl w:val="2"/>
    </w:pPr>
    <w:rPr>
      <w:rFonts w:ascii="Calibri Light" w:eastAsia="新細明體" w:hAnsi="Calibri Light" w:cs="Times New Roman"/>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E42289"/>
    <w:rPr>
      <w:rFonts w:ascii="Calibri Light" w:eastAsia="新細明體" w:hAnsi="Calibri Light" w:cs="Times New Roman"/>
      <w:b/>
      <w:bCs/>
      <w:sz w:val="36"/>
      <w:szCs w:val="36"/>
      <w:lang w:val="x-none" w:eastAsia="x-none"/>
    </w:rPr>
  </w:style>
  <w:style w:type="paragraph" w:customStyle="1" w:styleId="a3">
    <w:name w:val="草案條文"/>
    <w:basedOn w:val="a"/>
    <w:qFormat/>
    <w:rsid w:val="00E42289"/>
    <w:pPr>
      <w:ind w:start="14.15pt" w:hangingChars="118" w:hanging="14.15pt"/>
      <w:jc w:val="both"/>
    </w:pPr>
    <w:rPr>
      <w:rFonts w:ascii="標楷體" w:eastAsia="標楷體" w:hAnsi="標楷體" w:cs="Times New Roman"/>
      <w:color w:val="000000"/>
      <w:szCs w:val="24"/>
    </w:rPr>
  </w:style>
  <w:style w:type="paragraph" w:styleId="a4">
    <w:name w:val="header"/>
    <w:basedOn w:val="a"/>
    <w:link w:val="a5"/>
    <w:uiPriority w:val="99"/>
    <w:unhideWhenUsed/>
    <w:rsid w:val="000C1E68"/>
    <w:pPr>
      <w:tabs>
        <w:tab w:val="center" w:pos="207.65pt"/>
        <w:tab w:val="end" w:pos="415.30pt"/>
      </w:tabs>
      <w:snapToGrid w:val="0"/>
    </w:pPr>
    <w:rPr>
      <w:sz w:val="20"/>
      <w:szCs w:val="20"/>
    </w:rPr>
  </w:style>
  <w:style w:type="character" w:customStyle="1" w:styleId="a5">
    <w:name w:val="頁首 字元"/>
    <w:basedOn w:val="a0"/>
    <w:link w:val="a4"/>
    <w:uiPriority w:val="99"/>
    <w:rsid w:val="000C1E68"/>
    <w:rPr>
      <w:sz w:val="20"/>
      <w:szCs w:val="20"/>
    </w:rPr>
  </w:style>
  <w:style w:type="paragraph" w:styleId="a6">
    <w:name w:val="footer"/>
    <w:basedOn w:val="a"/>
    <w:link w:val="a7"/>
    <w:uiPriority w:val="99"/>
    <w:unhideWhenUsed/>
    <w:rsid w:val="000C1E68"/>
    <w:pPr>
      <w:tabs>
        <w:tab w:val="center" w:pos="207.65pt"/>
        <w:tab w:val="end" w:pos="415.30pt"/>
      </w:tabs>
      <w:snapToGrid w:val="0"/>
    </w:pPr>
    <w:rPr>
      <w:sz w:val="20"/>
      <w:szCs w:val="20"/>
    </w:rPr>
  </w:style>
  <w:style w:type="character" w:customStyle="1" w:styleId="a7">
    <w:name w:val="頁尾 字元"/>
    <w:basedOn w:val="a0"/>
    <w:link w:val="a6"/>
    <w:uiPriority w:val="99"/>
    <w:rsid w:val="000C1E68"/>
    <w:rPr>
      <w:sz w:val="20"/>
      <w:szCs w:val="20"/>
    </w:rPr>
  </w:style>
  <w:style w:type="paragraph" w:styleId="Web">
    <w:name w:val="Normal (Web)"/>
    <w:basedOn w:val="a"/>
    <w:uiPriority w:val="99"/>
    <w:unhideWhenUsed/>
    <w:rsid w:val="006658B8"/>
    <w:pPr>
      <w:widowControl/>
      <w:spacing w:before="5pt" w:beforeAutospacing="1" w:after="5pt"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purl.oclc.org/ooxml/officeDocument/relationships/theme" Target="theme/theme1.xml"/><Relationship Id="rId3" Type="http://purl.oclc.org/ooxml/officeDocument/relationships/settings" Target="settings.xml"/><Relationship Id="rId7" Type="http://purl.oclc.org/ooxml/officeDocument/relationships/fontTable" Target="fontTable.xm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5" Type="http://purl.oclc.org/ooxml/officeDocument/relationships/footnotes" Target="footnotes.xml"/><Relationship Id="rId4" Type="http://purl.oclc.org/ooxml/officeDocument/relationships/webSettings" Target="webSettings.xml"/></Relationships>
</file>

<file path=word/theme/theme1.xml><?xml version="1.0" encoding="utf-8"?>
<a:theme xmlns:a="http://purl.oclc.org/ooxml/drawingml/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1</TotalTime>
  <Pages>4</Pages>
  <Words>204</Words>
  <Characters>1164</Characters>
  <Application>Microsoft Office Word</Application>
  <DocSecurity>0</DocSecurity>
  <Lines>9</Lines>
  <Paragraphs>2</Paragraphs>
  <ScaleCrop>false</ScaleCrop>
  <Company/>
  <LinksUpToDate>false</LinksUpToDate>
  <CharactersWithSpaces>1366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林玫卲</cp:lastModifiedBy>
  <cp:revision>2</cp:revision>
  <dcterms:created xsi:type="dcterms:W3CDTF">2020-02-20T02:29:00Z</dcterms:created>
  <dcterms:modified xsi:type="dcterms:W3CDTF">2020-02-20T02:29:00Z</dcterms:modified>
</cp:coreProperties>
</file>