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DD5" w:rsidRDefault="00500DD5" w:rsidP="00500DD5">
      <w:pPr>
        <w:pStyle w:val="a3"/>
        <w:widowControl/>
        <w:snapToGrid w:val="0"/>
        <w:jc w:val="both"/>
        <w:rPr>
          <w:rFonts w:ascii="標楷體" w:eastAsia="標楷體" w:hAnsi="標楷體" w:cs="新細明體"/>
          <w:bCs/>
          <w:sz w:val="40"/>
          <w:szCs w:val="40"/>
        </w:rPr>
      </w:pPr>
      <w:bookmarkStart w:id="0" w:name="_GoBack"/>
      <w:r>
        <w:rPr>
          <w:rFonts w:ascii="標楷體" w:eastAsia="標楷體" w:hAnsi="標楷體" w:cs="新細明體"/>
          <w:bCs/>
          <w:sz w:val="40"/>
          <w:szCs w:val="40"/>
        </w:rPr>
        <w:t>臺中市政府</w:t>
      </w:r>
      <w:r>
        <w:rPr>
          <w:rFonts w:ascii="標楷體" w:eastAsia="標楷體" w:hAnsi="標楷體" w:cs="新細明體" w:hint="eastAsia"/>
          <w:bCs/>
          <w:sz w:val="40"/>
          <w:szCs w:val="40"/>
        </w:rPr>
        <w:t>地方稅務局</w:t>
      </w:r>
      <w:r>
        <w:rPr>
          <w:rFonts w:ascii="標楷體" w:eastAsia="標楷體" w:hAnsi="標楷體" w:cs="新細明體"/>
          <w:bCs/>
          <w:sz w:val="40"/>
          <w:szCs w:val="40"/>
        </w:rPr>
        <w:t>組織規程</w:t>
      </w:r>
      <w:bookmarkEnd w:id="0"/>
      <w:r>
        <w:rPr>
          <w:rFonts w:ascii="標楷體" w:eastAsia="標楷體" w:hAnsi="標楷體" w:cs="新細明體"/>
          <w:bCs/>
          <w:sz w:val="40"/>
          <w:szCs w:val="40"/>
        </w:rPr>
        <w:t>第三條</w:t>
      </w:r>
      <w:r w:rsidR="00147C98">
        <w:rPr>
          <w:rFonts w:ascii="標楷體" w:eastAsia="標楷體" w:hAnsi="標楷體" w:cs="新細明體" w:hint="eastAsia"/>
          <w:bCs/>
          <w:sz w:val="40"/>
          <w:szCs w:val="40"/>
        </w:rPr>
        <w:t>、</w:t>
      </w:r>
      <w:r w:rsidR="00147C98">
        <w:rPr>
          <w:rFonts w:ascii="標楷體" w:eastAsia="標楷體" w:hAnsi="標楷體" w:cs="新細明體"/>
          <w:bCs/>
          <w:sz w:val="40"/>
          <w:szCs w:val="40"/>
        </w:rPr>
        <w:t>第</w:t>
      </w:r>
      <w:r w:rsidR="00147C98">
        <w:rPr>
          <w:rFonts w:ascii="標楷體" w:eastAsia="標楷體" w:hAnsi="標楷體" w:cs="新細明體" w:hint="eastAsia"/>
          <w:bCs/>
          <w:sz w:val="40"/>
          <w:szCs w:val="40"/>
        </w:rPr>
        <w:t>六</w:t>
      </w:r>
      <w:r w:rsidR="00147C98">
        <w:rPr>
          <w:rFonts w:ascii="標楷體" w:eastAsia="標楷體" w:hAnsi="標楷體" w:cs="新細明體"/>
          <w:bCs/>
          <w:sz w:val="40"/>
          <w:szCs w:val="40"/>
        </w:rPr>
        <w:t>條</w:t>
      </w:r>
      <w:r w:rsidR="00147C98">
        <w:rPr>
          <w:rFonts w:ascii="標楷體" w:eastAsia="標楷體" w:hAnsi="標楷體" w:cs="新細明體" w:hint="eastAsia"/>
          <w:bCs/>
          <w:sz w:val="40"/>
          <w:szCs w:val="40"/>
        </w:rPr>
        <w:t>、</w:t>
      </w:r>
      <w:r w:rsidR="00147C98">
        <w:rPr>
          <w:rFonts w:ascii="標楷體" w:eastAsia="標楷體" w:hAnsi="標楷體" w:cs="新細明體"/>
          <w:bCs/>
          <w:sz w:val="40"/>
          <w:szCs w:val="40"/>
        </w:rPr>
        <w:t>第</w:t>
      </w:r>
      <w:r w:rsidR="00147C98">
        <w:rPr>
          <w:rFonts w:ascii="標楷體" w:eastAsia="標楷體" w:hAnsi="標楷體" w:cs="新細明體" w:hint="eastAsia"/>
          <w:bCs/>
          <w:sz w:val="40"/>
          <w:szCs w:val="40"/>
        </w:rPr>
        <w:t>十四</w:t>
      </w:r>
      <w:r w:rsidR="00147C98">
        <w:rPr>
          <w:rFonts w:ascii="標楷體" w:eastAsia="標楷體" w:hAnsi="標楷體" w:cs="新細明體"/>
          <w:bCs/>
          <w:sz w:val="40"/>
          <w:szCs w:val="40"/>
        </w:rPr>
        <w:t>條</w:t>
      </w:r>
      <w:r>
        <w:rPr>
          <w:rFonts w:ascii="標楷體" w:eastAsia="標楷體" w:hAnsi="標楷體" w:cs="新細明體"/>
          <w:bCs/>
          <w:sz w:val="40"/>
          <w:szCs w:val="40"/>
        </w:rPr>
        <w:t>修正</w:t>
      </w:r>
      <w:r>
        <w:rPr>
          <w:rFonts w:ascii="標楷體" w:eastAsia="標楷體" w:hAnsi="標楷體" w:cs="新細明體" w:hint="eastAsia"/>
          <w:bCs/>
          <w:sz w:val="40"/>
          <w:szCs w:val="40"/>
        </w:rPr>
        <w:t>條文</w:t>
      </w:r>
    </w:p>
    <w:p w:rsidR="00500DD5" w:rsidRDefault="00500DD5" w:rsidP="00500DD5">
      <w:pPr>
        <w:pStyle w:val="a3"/>
        <w:widowControl/>
        <w:snapToGrid w:val="0"/>
        <w:spacing w:line="460" w:lineRule="exact"/>
        <w:jc w:val="both"/>
      </w:pPr>
      <w:r>
        <w:rPr>
          <w:rFonts w:ascii="標楷體" w:eastAsia="標楷體" w:hAnsi="標楷體"/>
          <w:sz w:val="28"/>
          <w:szCs w:val="28"/>
        </w:rPr>
        <w:t xml:space="preserve">第三條    </w:t>
      </w:r>
      <w:r w:rsidRPr="00500DD5">
        <w:rPr>
          <w:rFonts w:ascii="標楷體" w:eastAsia="標楷體" w:hAnsi="標楷體" w:hint="eastAsia"/>
          <w:sz w:val="28"/>
          <w:szCs w:val="28"/>
        </w:rPr>
        <w:t>本局設下列科、室，分別掌理有關事項：</w:t>
      </w:r>
    </w:p>
    <w:p w:rsidR="00500DD5" w:rsidRPr="00A1171B" w:rsidRDefault="00500DD5" w:rsidP="00500DD5">
      <w:pPr>
        <w:pStyle w:val="a3"/>
        <w:widowControl/>
        <w:snapToGrid w:val="0"/>
        <w:spacing w:line="460" w:lineRule="exact"/>
        <w:ind w:left="1990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</w:t>
      </w:r>
      <w:r w:rsidRPr="00500DD5">
        <w:rPr>
          <w:rFonts w:ascii="標楷體" w:eastAsia="標楷體" w:hAnsi="標楷體" w:hint="eastAsia"/>
          <w:sz w:val="28"/>
          <w:szCs w:val="28"/>
        </w:rPr>
        <w:t>稽核科：各稅覆核及抽查等事項。</w:t>
      </w:r>
    </w:p>
    <w:p w:rsidR="00500DD5" w:rsidRPr="00500DD5" w:rsidRDefault="00500DD5" w:rsidP="00500DD5">
      <w:pPr>
        <w:pStyle w:val="a3"/>
        <w:widowControl/>
        <w:snapToGrid w:val="0"/>
        <w:spacing w:line="460" w:lineRule="exact"/>
        <w:ind w:left="1990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</w:t>
      </w:r>
      <w:r w:rsidRPr="00500DD5">
        <w:rPr>
          <w:rFonts w:ascii="標楷體" w:eastAsia="標楷體" w:hAnsi="標楷體" w:hint="eastAsia"/>
          <w:sz w:val="28"/>
          <w:szCs w:val="28"/>
        </w:rPr>
        <w:t>財產稅科：地價稅、田賦、土地增值稅、房屋稅、契稅稽徵及工程受益費經徵等事項。</w:t>
      </w:r>
    </w:p>
    <w:p w:rsidR="00500DD5" w:rsidRPr="00500DD5" w:rsidRDefault="00500DD5" w:rsidP="00B12ED2">
      <w:pPr>
        <w:pStyle w:val="a3"/>
        <w:widowControl/>
        <w:snapToGrid w:val="0"/>
        <w:spacing w:line="460" w:lineRule="exact"/>
        <w:ind w:left="1988" w:hanging="567"/>
        <w:jc w:val="both"/>
        <w:rPr>
          <w:rFonts w:ascii="標楷體" w:eastAsia="標楷體" w:hAnsi="標楷體"/>
          <w:sz w:val="28"/>
          <w:szCs w:val="28"/>
        </w:rPr>
      </w:pPr>
      <w:r w:rsidRPr="00500DD5">
        <w:rPr>
          <w:rFonts w:ascii="標楷體" w:eastAsia="標楷體" w:hAnsi="標楷體" w:hint="eastAsia"/>
          <w:sz w:val="28"/>
          <w:szCs w:val="28"/>
        </w:rPr>
        <w:t>三、消費稅及管考科：使用牌照稅、印花稅、娛樂稅、特別稅課稽徵</w:t>
      </w:r>
      <w:r w:rsidR="00220E00">
        <w:rPr>
          <w:rFonts w:ascii="標楷體" w:eastAsia="標楷體" w:hAnsi="標楷體" w:hint="eastAsia"/>
          <w:color w:val="000000" w:themeColor="text1"/>
          <w:sz w:val="28"/>
          <w:szCs w:val="28"/>
        </w:rPr>
        <w:t>與</w:t>
      </w:r>
      <w:r w:rsidRPr="003044BB">
        <w:rPr>
          <w:rFonts w:ascii="標楷體" w:eastAsia="標楷體" w:hAnsi="標楷體" w:hint="eastAsia"/>
          <w:color w:val="000000" w:themeColor="text1"/>
          <w:sz w:val="28"/>
          <w:szCs w:val="28"/>
        </w:rPr>
        <w:t>查緝業務</w:t>
      </w:r>
      <w:r w:rsidR="00220E00">
        <w:rPr>
          <w:rFonts w:ascii="標楷體" w:eastAsia="標楷體" w:hAnsi="標楷體" w:hint="eastAsia"/>
          <w:color w:val="000000" w:themeColor="text1"/>
          <w:sz w:val="28"/>
          <w:szCs w:val="28"/>
        </w:rPr>
        <w:t>及</w:t>
      </w:r>
      <w:r w:rsidRPr="00500DD5">
        <w:rPr>
          <w:rFonts w:ascii="標楷體" w:eastAsia="標楷體" w:hAnsi="標楷體" w:hint="eastAsia"/>
          <w:sz w:val="28"/>
          <w:szCs w:val="28"/>
        </w:rPr>
        <w:t>管制考核等事項。</w:t>
      </w:r>
    </w:p>
    <w:p w:rsidR="00500DD5" w:rsidRPr="00500DD5" w:rsidRDefault="00500DD5" w:rsidP="00500DD5">
      <w:pPr>
        <w:pStyle w:val="a3"/>
        <w:widowControl/>
        <w:snapToGrid w:val="0"/>
        <w:spacing w:line="460" w:lineRule="exact"/>
        <w:ind w:left="1990" w:hanging="567"/>
        <w:jc w:val="both"/>
        <w:rPr>
          <w:rFonts w:ascii="標楷體" w:eastAsia="標楷體" w:hAnsi="標楷體"/>
          <w:sz w:val="28"/>
          <w:szCs w:val="28"/>
        </w:rPr>
      </w:pPr>
      <w:r w:rsidRPr="00500DD5">
        <w:rPr>
          <w:rFonts w:ascii="標楷體" w:eastAsia="標楷體" w:hAnsi="標楷體" w:hint="eastAsia"/>
          <w:sz w:val="28"/>
          <w:szCs w:val="28"/>
        </w:rPr>
        <w:t>四、法務科：違章漏稅審理裁處、行政救濟</w:t>
      </w:r>
      <w:r w:rsidR="00B72A54">
        <w:rPr>
          <w:rFonts w:ascii="標楷體" w:eastAsia="標楷體" w:hAnsi="標楷體" w:hint="eastAsia"/>
          <w:sz w:val="28"/>
          <w:szCs w:val="28"/>
        </w:rPr>
        <w:t>及</w:t>
      </w:r>
      <w:r w:rsidRPr="00500DD5">
        <w:rPr>
          <w:rFonts w:ascii="標楷體" w:eastAsia="標楷體" w:hAnsi="標楷體" w:hint="eastAsia"/>
          <w:sz w:val="28"/>
          <w:szCs w:val="28"/>
        </w:rPr>
        <w:t>國家賠償</w:t>
      </w:r>
      <w:r w:rsidR="00B12ED2" w:rsidRPr="00B72A54">
        <w:rPr>
          <w:rFonts w:ascii="標楷體" w:eastAsia="標楷體" w:hAnsi="標楷體" w:hint="eastAsia"/>
          <w:sz w:val="28"/>
          <w:szCs w:val="28"/>
        </w:rPr>
        <w:t>等事項。</w:t>
      </w:r>
    </w:p>
    <w:p w:rsidR="00500DD5" w:rsidRPr="00500DD5" w:rsidRDefault="00500DD5" w:rsidP="00500DD5">
      <w:pPr>
        <w:pStyle w:val="a3"/>
        <w:widowControl/>
        <w:snapToGrid w:val="0"/>
        <w:spacing w:line="460" w:lineRule="exact"/>
        <w:ind w:left="1990" w:hanging="567"/>
        <w:jc w:val="both"/>
        <w:rPr>
          <w:rFonts w:ascii="標楷體" w:eastAsia="標楷體" w:hAnsi="標楷體"/>
          <w:sz w:val="28"/>
          <w:szCs w:val="28"/>
        </w:rPr>
      </w:pPr>
      <w:r w:rsidRPr="00500DD5">
        <w:rPr>
          <w:rFonts w:ascii="標楷體" w:eastAsia="標楷體" w:hAnsi="標楷體" w:hint="eastAsia"/>
          <w:sz w:val="28"/>
          <w:szCs w:val="28"/>
        </w:rPr>
        <w:t>五、企劃服務科：納稅服務、法令宣導、綜合設計規劃及研究發展等事項。</w:t>
      </w:r>
    </w:p>
    <w:p w:rsidR="00500DD5" w:rsidRPr="00500DD5" w:rsidRDefault="00500DD5" w:rsidP="00A41879">
      <w:pPr>
        <w:pStyle w:val="a3"/>
        <w:widowControl/>
        <w:snapToGrid w:val="0"/>
        <w:spacing w:line="460" w:lineRule="exact"/>
        <w:ind w:left="1990" w:hanging="567"/>
        <w:jc w:val="both"/>
        <w:rPr>
          <w:rFonts w:ascii="標楷體" w:eastAsia="標楷體" w:hAnsi="標楷體"/>
          <w:sz w:val="28"/>
          <w:szCs w:val="28"/>
        </w:rPr>
      </w:pPr>
      <w:r w:rsidRPr="00500DD5">
        <w:rPr>
          <w:rFonts w:ascii="標楷體" w:eastAsia="標楷體" w:hAnsi="標楷體" w:hint="eastAsia"/>
          <w:sz w:val="28"/>
          <w:szCs w:val="28"/>
        </w:rPr>
        <w:t>六、稅務管理科：欠稅清理、欠稅執行及稅務管理等事項。</w:t>
      </w:r>
    </w:p>
    <w:p w:rsidR="00500DD5" w:rsidRPr="00500DD5" w:rsidRDefault="00500DD5" w:rsidP="00A41879">
      <w:pPr>
        <w:pStyle w:val="a3"/>
        <w:widowControl/>
        <w:snapToGrid w:val="0"/>
        <w:spacing w:line="460" w:lineRule="exact"/>
        <w:ind w:left="1990" w:hanging="567"/>
        <w:jc w:val="both"/>
        <w:rPr>
          <w:rFonts w:ascii="標楷體" w:eastAsia="標楷體" w:hAnsi="標楷體"/>
          <w:sz w:val="28"/>
          <w:szCs w:val="28"/>
        </w:rPr>
      </w:pPr>
      <w:r w:rsidRPr="00500DD5">
        <w:rPr>
          <w:rFonts w:ascii="標楷體" w:eastAsia="標楷體" w:hAnsi="標楷體" w:hint="eastAsia"/>
          <w:sz w:val="28"/>
          <w:szCs w:val="28"/>
        </w:rPr>
        <w:t>七、資訊科：稅務資訊系統之規劃與執行、電腦軟硬體設備操作、管理與維護、資訊教育訓練及課稅資料之處理等事項。</w:t>
      </w:r>
    </w:p>
    <w:p w:rsidR="00500DD5" w:rsidRDefault="00500DD5" w:rsidP="00A41879">
      <w:pPr>
        <w:pStyle w:val="a3"/>
        <w:widowControl/>
        <w:snapToGrid w:val="0"/>
        <w:spacing w:line="460" w:lineRule="exact"/>
        <w:ind w:left="1990" w:hanging="567"/>
        <w:jc w:val="both"/>
        <w:rPr>
          <w:rFonts w:ascii="標楷體" w:eastAsia="標楷體" w:hAnsi="標楷體"/>
          <w:sz w:val="28"/>
          <w:szCs w:val="28"/>
        </w:rPr>
      </w:pPr>
      <w:r w:rsidRPr="00500DD5">
        <w:rPr>
          <w:rFonts w:ascii="標楷體" w:eastAsia="標楷體" w:hAnsi="標楷體" w:hint="eastAsia"/>
          <w:sz w:val="28"/>
          <w:szCs w:val="28"/>
        </w:rPr>
        <w:t>八、秘書室：文書、檔案、印信、事務、採購、出納、財產管理、工友及適用勞動基準法人員之管理、公共關係及不屬於其他科室事務等事項。</w:t>
      </w:r>
    </w:p>
    <w:p w:rsidR="00147C98" w:rsidRDefault="00500DD5" w:rsidP="00A41879">
      <w:pPr>
        <w:pStyle w:val="a3"/>
        <w:widowControl/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六</w:t>
      </w:r>
      <w:r>
        <w:rPr>
          <w:rFonts w:ascii="標楷體" w:eastAsia="標楷體" w:hAnsi="標楷體"/>
          <w:sz w:val="28"/>
          <w:szCs w:val="28"/>
        </w:rPr>
        <w:t>條</w:t>
      </w:r>
      <w:r w:rsidR="00B12ED2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500DD5">
        <w:rPr>
          <w:rFonts w:ascii="標楷體" w:eastAsia="標楷體" w:hAnsi="標楷體" w:hint="eastAsia"/>
          <w:sz w:val="28"/>
          <w:szCs w:val="28"/>
        </w:rPr>
        <w:t>本局設會計室，置主任、專員、股長、科員、佐理員、辦事員、書記，依法辦理歲計、會計及統計事項。</w:t>
      </w:r>
    </w:p>
    <w:p w:rsidR="00147C98" w:rsidRPr="00147C98" w:rsidRDefault="00147C98" w:rsidP="00A41879">
      <w:pPr>
        <w:pStyle w:val="a3"/>
        <w:widowControl/>
        <w:snapToGrid w:val="0"/>
        <w:spacing w:line="460" w:lineRule="exact"/>
        <w:ind w:leftChars="6" w:left="935" w:hangingChars="329" w:hanging="921"/>
        <w:jc w:val="both"/>
        <w:rPr>
          <w:rFonts w:ascii="標楷體" w:eastAsia="標楷體" w:hAnsi="標楷體"/>
          <w:sz w:val="28"/>
          <w:szCs w:val="28"/>
        </w:rPr>
      </w:pPr>
      <w:r w:rsidRPr="00147C98">
        <w:rPr>
          <w:rFonts w:ascii="標楷體" w:eastAsia="標楷體" w:hAnsi="標楷體"/>
          <w:sz w:val="28"/>
          <w:szCs w:val="28"/>
        </w:rPr>
        <w:t>第</w:t>
      </w:r>
      <w:r w:rsidRPr="00147C98">
        <w:rPr>
          <w:rFonts w:ascii="標楷體" w:eastAsia="標楷體" w:hAnsi="標楷體" w:hint="eastAsia"/>
          <w:sz w:val="28"/>
          <w:szCs w:val="28"/>
        </w:rPr>
        <w:t>十四</w:t>
      </w:r>
      <w:r w:rsidRPr="00147C98">
        <w:rPr>
          <w:rFonts w:ascii="標楷體" w:eastAsia="標楷體" w:hAnsi="標楷體"/>
          <w:sz w:val="28"/>
          <w:szCs w:val="28"/>
        </w:rPr>
        <w:t>條</w:t>
      </w:r>
      <w:r w:rsidR="005A79F7" w:rsidRPr="00147C98">
        <w:rPr>
          <w:rFonts w:ascii="標楷體" w:eastAsia="標楷體" w:hAnsi="標楷體"/>
          <w:sz w:val="28"/>
          <w:szCs w:val="28"/>
        </w:rPr>
        <w:t xml:space="preserve">    </w:t>
      </w:r>
      <w:r w:rsidRPr="00147C98">
        <w:rPr>
          <w:rFonts w:ascii="標楷體" w:eastAsia="標楷體" w:hAnsi="標楷體" w:hint="eastAsia"/>
          <w:sz w:val="28"/>
          <w:szCs w:val="28"/>
        </w:rPr>
        <w:t>本規程自中華民國九十九年十二月二十五日施行。</w:t>
      </w:r>
    </w:p>
    <w:p w:rsidR="00147C98" w:rsidRPr="002933D0" w:rsidRDefault="005A79F7" w:rsidP="00D91E6A">
      <w:pPr>
        <w:pStyle w:val="-1"/>
        <w:spacing w:after="0" w:line="460" w:lineRule="exact"/>
        <w:ind w:leftChars="232" w:left="1176" w:hangingChars="221" w:hanging="619"/>
        <w:jc w:val="both"/>
        <w:rPr>
          <w:rFonts w:ascii="標楷體" w:hAnsi="標楷體"/>
          <w:kern w:val="0"/>
          <w:sz w:val="28"/>
          <w:szCs w:val="28"/>
        </w:rPr>
      </w:pPr>
      <w:r w:rsidRPr="00147C98">
        <w:rPr>
          <w:rFonts w:ascii="標楷體" w:hAnsi="標楷體"/>
          <w:sz w:val="28"/>
          <w:szCs w:val="28"/>
        </w:rPr>
        <w:t xml:space="preserve">        </w:t>
      </w:r>
      <w:r w:rsidR="00147C98" w:rsidRPr="002933D0">
        <w:rPr>
          <w:rFonts w:ascii="標楷體" w:hAnsi="標楷體" w:hint="eastAsia"/>
          <w:kern w:val="0"/>
          <w:sz w:val="28"/>
          <w:szCs w:val="28"/>
        </w:rPr>
        <w:t>本規程中華民國一百年</w:t>
      </w:r>
      <w:r w:rsidR="003044BB" w:rsidRPr="002933D0">
        <w:rPr>
          <w:rFonts w:ascii="標楷體" w:hAnsi="標楷體" w:hint="eastAsia"/>
          <w:kern w:val="0"/>
          <w:sz w:val="28"/>
          <w:szCs w:val="28"/>
        </w:rPr>
        <w:t>三月三十一日修正條文，自九十九</w:t>
      </w:r>
      <w:r w:rsidRPr="00147C98">
        <w:rPr>
          <w:rFonts w:ascii="標楷體" w:hAnsi="標楷體"/>
          <w:sz w:val="28"/>
          <w:szCs w:val="28"/>
        </w:rPr>
        <w:t xml:space="preserve">    </w:t>
      </w:r>
      <w:r w:rsidR="003044BB" w:rsidRPr="002933D0">
        <w:rPr>
          <w:rFonts w:ascii="標楷體" w:hAnsi="標楷體" w:hint="eastAsia"/>
          <w:kern w:val="0"/>
          <w:sz w:val="28"/>
          <w:szCs w:val="28"/>
        </w:rPr>
        <w:t>年十二月二十五日施行；一百年</w:t>
      </w:r>
      <w:r w:rsidR="00147C98" w:rsidRPr="002933D0">
        <w:rPr>
          <w:rFonts w:ascii="標楷體" w:hAnsi="標楷體" w:hint="eastAsia"/>
          <w:kern w:val="0"/>
          <w:sz w:val="28"/>
          <w:szCs w:val="28"/>
        </w:rPr>
        <w:t>十月四日修正條文，自一百年四月十五日施行。</w:t>
      </w:r>
    </w:p>
    <w:p w:rsidR="00147C98" w:rsidRPr="00B12ED2" w:rsidRDefault="00147C98" w:rsidP="00D91E6A">
      <w:pPr>
        <w:pStyle w:val="-1"/>
        <w:spacing w:after="0" w:line="460" w:lineRule="exact"/>
        <w:ind w:leftChars="495" w:left="1188" w:firstLineChars="177" w:firstLine="496"/>
        <w:jc w:val="both"/>
        <w:rPr>
          <w:rFonts w:ascii="標楷體" w:hAnsi="標楷體"/>
          <w:kern w:val="0"/>
          <w:sz w:val="28"/>
          <w:szCs w:val="28"/>
        </w:rPr>
      </w:pPr>
      <w:r w:rsidRPr="00B12ED2">
        <w:rPr>
          <w:rFonts w:ascii="標楷體" w:hAnsi="標楷體" w:hint="eastAsia"/>
          <w:kern w:val="0"/>
          <w:sz w:val="28"/>
          <w:szCs w:val="28"/>
        </w:rPr>
        <w:t>本規程除前項修正條文，其餘修正條文施行日期，由本府以命令定之。</w:t>
      </w:r>
    </w:p>
    <w:sectPr w:rsidR="00147C98" w:rsidRPr="00B12ED2">
      <w:pgSz w:w="11907" w:h="16839"/>
      <w:pgMar w:top="1418" w:right="1418" w:bottom="1418" w:left="1701" w:header="0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7E4" w:rsidRDefault="00C607E4" w:rsidP="00B12ED2">
      <w:r>
        <w:separator/>
      </w:r>
    </w:p>
  </w:endnote>
  <w:endnote w:type="continuationSeparator" w:id="0">
    <w:p w:rsidR="00C607E4" w:rsidRDefault="00C607E4" w:rsidP="00B12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7E4" w:rsidRDefault="00C607E4" w:rsidP="00B12ED2">
      <w:r>
        <w:separator/>
      </w:r>
    </w:p>
  </w:footnote>
  <w:footnote w:type="continuationSeparator" w:id="0">
    <w:p w:rsidR="00C607E4" w:rsidRDefault="00C607E4" w:rsidP="00B12E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DD5"/>
    <w:rsid w:val="000871EA"/>
    <w:rsid w:val="001326AA"/>
    <w:rsid w:val="00147C98"/>
    <w:rsid w:val="00220E00"/>
    <w:rsid w:val="002933D0"/>
    <w:rsid w:val="003044BB"/>
    <w:rsid w:val="00334597"/>
    <w:rsid w:val="003704F1"/>
    <w:rsid w:val="003A2C5B"/>
    <w:rsid w:val="004D3EE8"/>
    <w:rsid w:val="00500DD5"/>
    <w:rsid w:val="0055647D"/>
    <w:rsid w:val="005A79F7"/>
    <w:rsid w:val="005F0584"/>
    <w:rsid w:val="00673576"/>
    <w:rsid w:val="006E3EA1"/>
    <w:rsid w:val="00827F43"/>
    <w:rsid w:val="009E0DEE"/>
    <w:rsid w:val="009F3A89"/>
    <w:rsid w:val="00A41879"/>
    <w:rsid w:val="00AD5260"/>
    <w:rsid w:val="00B12ED2"/>
    <w:rsid w:val="00B47B07"/>
    <w:rsid w:val="00B72A54"/>
    <w:rsid w:val="00BD5D69"/>
    <w:rsid w:val="00C607E4"/>
    <w:rsid w:val="00D47DFA"/>
    <w:rsid w:val="00D91E6A"/>
    <w:rsid w:val="00ED34A4"/>
    <w:rsid w:val="00EF260E"/>
    <w:rsid w:val="00F2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855536B-63D6-4563-8EAF-0DC79BCCC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link w:val="a4"/>
    <w:rsid w:val="00500DD5"/>
    <w:pPr>
      <w:keepNext/>
      <w:widowControl w:val="0"/>
      <w:shd w:val="clear" w:color="auto" w:fill="FFFFFF"/>
      <w:suppressAutoHyphens/>
      <w:textAlignment w:val="baseline"/>
    </w:pPr>
    <w:rPr>
      <w:rFonts w:ascii="Calibri" w:eastAsia="新細明體" w:hAnsi="Calibri" w:cs="Times New Roman"/>
      <w:kern w:val="0"/>
    </w:rPr>
  </w:style>
  <w:style w:type="character" w:customStyle="1" w:styleId="a4">
    <w:name w:val="本文 字元"/>
    <w:basedOn w:val="a0"/>
    <w:link w:val="a3"/>
    <w:rsid w:val="00500DD5"/>
    <w:rPr>
      <w:rFonts w:ascii="Calibri" w:eastAsia="新細明體" w:hAnsi="Calibri" w:cs="Times New Roman"/>
      <w:kern w:val="0"/>
      <w:shd w:val="clear" w:color="auto" w:fill="FFFFFF"/>
    </w:rPr>
  </w:style>
  <w:style w:type="paragraph" w:customStyle="1" w:styleId="-1">
    <w:name w:val="標題-1"/>
    <w:basedOn w:val="a"/>
    <w:rsid w:val="00500DD5"/>
    <w:pPr>
      <w:spacing w:after="120" w:line="0" w:lineRule="atLeast"/>
    </w:pPr>
    <w:rPr>
      <w:rFonts w:ascii="Arial" w:eastAsia="標楷體" w:hAnsi="Arial" w:cs="Times New Roman"/>
      <w:sz w:val="40"/>
      <w:szCs w:val="24"/>
    </w:rPr>
  </w:style>
  <w:style w:type="paragraph" w:styleId="a5">
    <w:name w:val="header"/>
    <w:basedOn w:val="a"/>
    <w:link w:val="a6"/>
    <w:uiPriority w:val="99"/>
    <w:unhideWhenUsed/>
    <w:rsid w:val="00B12E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12ED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12E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12ED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20E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20E0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楊玉真</dc:creator>
  <cp:lastModifiedBy>施右容</cp:lastModifiedBy>
  <cp:revision>2</cp:revision>
  <cp:lastPrinted>2019-11-01T01:14:00Z</cp:lastPrinted>
  <dcterms:created xsi:type="dcterms:W3CDTF">2020-01-03T03:47:00Z</dcterms:created>
  <dcterms:modified xsi:type="dcterms:W3CDTF">2020-01-03T03:47:00Z</dcterms:modified>
</cp:coreProperties>
</file>