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0D67" w:rsidRDefault="00AB1C6A">
      <w:pPr>
        <w:pStyle w:val="Standard"/>
        <w:ind w:left="2"/>
        <w:jc w:val="both"/>
      </w:pPr>
      <w:bookmarkStart w:id="0" w:name="_GoBack"/>
      <w:bookmarkEnd w:id="0"/>
      <w:r>
        <w:rPr>
          <w:rFonts w:ascii="標楷體" w:eastAsia="標楷體" w:hAnsi="標楷體"/>
          <w:bCs/>
          <w:sz w:val="40"/>
          <w:szCs w:val="40"/>
        </w:rPr>
        <w:t>臺中市共同管道管理辦法第二條</w:t>
      </w:r>
      <w:r>
        <w:rPr>
          <w:rFonts w:ascii="標楷體" w:eastAsia="標楷體" w:hAnsi="標楷體"/>
          <w:sz w:val="40"/>
          <w:szCs w:val="40"/>
        </w:rPr>
        <w:t>修正總說明</w:t>
      </w:r>
    </w:p>
    <w:p w:rsidR="00F00D67" w:rsidRDefault="00AB1C6A">
      <w:pPr>
        <w:pStyle w:val="Standard"/>
        <w:spacing w:line="460" w:lineRule="exact"/>
      </w:pPr>
      <w:r>
        <w:rPr>
          <w:rFonts w:ascii="標楷體" w:eastAsia="標楷體" w:hAnsi="標楷體"/>
          <w:sz w:val="28"/>
          <w:szCs w:val="28"/>
        </w:rPr>
        <w:t xml:space="preserve">    </w:t>
      </w:r>
      <w:r>
        <w:rPr>
          <w:rFonts w:ascii="標楷體" w:eastAsia="標楷體" w:hAnsi="標楷體"/>
          <w:sz w:val="28"/>
          <w:szCs w:val="28"/>
        </w:rPr>
        <w:t>臺中市政府為提升城鄉生活品質，統合公共設施管線配置，加強道路管理，維護交通安全及市容觀瞻，推動共同管道建設，於一百零一年三月二十三日發布臺中市共同管道管理辦法全文共三十四條；惟因臺中市政府組織權限劃分、權限委託，以及臺中市政府建設局組織修編自一百零七年度生效，為符合實際執行需求，增列權限委任及委託之規定。</w:t>
      </w:r>
    </w:p>
    <w:p w:rsidR="00F00D67" w:rsidRDefault="00F00D67">
      <w:pPr>
        <w:pStyle w:val="Standard"/>
        <w:widowControl/>
        <w:spacing w:line="460" w:lineRule="exact"/>
        <w:rPr>
          <w:sz w:val="28"/>
          <w:szCs w:val="28"/>
        </w:rPr>
      </w:pPr>
    </w:p>
    <w:p w:rsidR="00F00D67" w:rsidRDefault="00F00D67">
      <w:pPr>
        <w:pStyle w:val="Standard"/>
        <w:widowControl/>
        <w:rPr>
          <w:rFonts w:ascii="標楷體" w:eastAsia="標楷體" w:hAnsi="標楷體"/>
          <w:bCs/>
          <w:sz w:val="40"/>
          <w:szCs w:val="40"/>
        </w:rPr>
      </w:pPr>
    </w:p>
    <w:p w:rsidR="00F00D67" w:rsidRDefault="00AB1C6A">
      <w:pPr>
        <w:pStyle w:val="Standard"/>
        <w:pageBreakBefore/>
        <w:jc w:val="both"/>
      </w:pPr>
      <w:r>
        <w:rPr>
          <w:rFonts w:ascii="標楷體" w:eastAsia="標楷體" w:hAnsi="標楷體"/>
          <w:bCs/>
          <w:sz w:val="40"/>
          <w:szCs w:val="40"/>
        </w:rPr>
        <w:lastRenderedPageBreak/>
        <w:t>臺中市共同管道管理辦法第二條</w:t>
      </w:r>
      <w:r>
        <w:rPr>
          <w:rFonts w:ascii="標楷體" w:eastAsia="標楷體" w:hAnsi="標楷體" w:cs="Times New Roman"/>
          <w:bCs/>
          <w:sz w:val="40"/>
          <w:szCs w:val="40"/>
        </w:rPr>
        <w:t>修正條文</w:t>
      </w:r>
      <w:r>
        <w:rPr>
          <w:rFonts w:ascii="Times New Roman" w:eastAsia="標楷體" w:hAnsi="Times New Roman" w:cs="Times New Roman"/>
          <w:sz w:val="40"/>
          <w:szCs w:val="40"/>
        </w:rPr>
        <w:t>對照表</w:t>
      </w:r>
    </w:p>
    <w:tbl>
      <w:tblPr>
        <w:tblW w:w="5000" w:type="pct"/>
        <w:tblInd w:w="-113" w:type="dxa"/>
        <w:tblLayout w:type="fixed"/>
        <w:tblCellMar>
          <w:left w:w="10" w:type="dxa"/>
          <w:right w:w="10" w:type="dxa"/>
        </w:tblCellMar>
        <w:tblLook w:val="0000" w:firstRow="0" w:lastRow="0" w:firstColumn="0" w:lastColumn="0" w:noHBand="0" w:noVBand="0"/>
      </w:tblPr>
      <w:tblGrid>
        <w:gridCol w:w="2924"/>
        <w:gridCol w:w="2927"/>
        <w:gridCol w:w="2926"/>
      </w:tblGrid>
      <w:tr w:rsidR="00F00D67">
        <w:tblPrEx>
          <w:tblCellMar>
            <w:top w:w="0" w:type="dxa"/>
            <w:bottom w:w="0" w:type="dxa"/>
          </w:tblCellMar>
        </w:tblPrEx>
        <w:tc>
          <w:tcPr>
            <w:tcW w:w="292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F00D67" w:rsidRDefault="00AB1C6A">
            <w:pPr>
              <w:pStyle w:val="Standard"/>
              <w:tabs>
                <w:tab w:val="center" w:pos="1285"/>
                <w:tab w:val="right" w:pos="2571"/>
              </w:tabs>
              <w:jc w:val="center"/>
            </w:pPr>
            <w:r>
              <w:rPr>
                <w:rFonts w:ascii="標楷體" w:eastAsia="標楷體" w:hAnsi="標楷體"/>
                <w:szCs w:val="24"/>
              </w:rPr>
              <w:t>修正條文</w:t>
            </w:r>
          </w:p>
        </w:tc>
        <w:tc>
          <w:tcPr>
            <w:tcW w:w="293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F00D67" w:rsidRDefault="00AB1C6A">
            <w:pPr>
              <w:pStyle w:val="Standard"/>
              <w:jc w:val="center"/>
            </w:pPr>
            <w:r>
              <w:rPr>
                <w:rFonts w:ascii="標楷體" w:eastAsia="標楷體" w:hAnsi="標楷體"/>
                <w:szCs w:val="24"/>
              </w:rPr>
              <w:t>現行條文</w:t>
            </w:r>
          </w:p>
        </w:tc>
        <w:tc>
          <w:tcPr>
            <w:tcW w:w="292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F00D67" w:rsidRDefault="00AB1C6A">
            <w:pPr>
              <w:pStyle w:val="Standard"/>
              <w:jc w:val="center"/>
            </w:pPr>
            <w:r>
              <w:rPr>
                <w:rFonts w:ascii="標楷體" w:eastAsia="標楷體" w:hAnsi="標楷體"/>
                <w:szCs w:val="24"/>
              </w:rPr>
              <w:t>說明</w:t>
            </w:r>
          </w:p>
        </w:tc>
      </w:tr>
      <w:tr w:rsidR="00F00D67">
        <w:tblPrEx>
          <w:tblCellMar>
            <w:top w:w="0" w:type="dxa"/>
            <w:bottom w:w="0" w:type="dxa"/>
          </w:tblCellMar>
        </w:tblPrEx>
        <w:tc>
          <w:tcPr>
            <w:tcW w:w="292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F00D67" w:rsidRDefault="00AB1C6A">
            <w:pPr>
              <w:pStyle w:val="Standard"/>
              <w:ind w:left="170" w:hanging="168"/>
              <w:jc w:val="both"/>
            </w:pPr>
            <w:r>
              <w:rPr>
                <w:rFonts w:ascii="標楷體" w:eastAsia="標楷體" w:hAnsi="標楷體"/>
                <w:szCs w:val="24"/>
              </w:rPr>
              <w:t>第二條</w:t>
            </w:r>
            <w:r>
              <w:rPr>
                <w:rFonts w:ascii="標楷體" w:eastAsia="標楷體" w:hAnsi="標楷體"/>
                <w:szCs w:val="24"/>
              </w:rPr>
              <w:t xml:space="preserve">  </w:t>
            </w:r>
            <w:r>
              <w:rPr>
                <w:rFonts w:ascii="標楷體" w:eastAsia="標楷體" w:hAnsi="標楷體"/>
                <w:szCs w:val="24"/>
              </w:rPr>
              <w:t>本辦法之主管機關為臺中市政府建設局</w:t>
            </w:r>
            <w:r>
              <w:rPr>
                <w:rFonts w:ascii="標楷體" w:eastAsia="標楷體" w:hAnsi="標楷體"/>
                <w:szCs w:val="24"/>
              </w:rPr>
              <w:t>(</w:t>
            </w:r>
            <w:r>
              <w:rPr>
                <w:rFonts w:ascii="標楷體" w:eastAsia="標楷體" w:hAnsi="標楷體"/>
                <w:szCs w:val="24"/>
              </w:rPr>
              <w:t>以下簡稱建設局</w:t>
            </w:r>
            <w:r>
              <w:rPr>
                <w:rFonts w:ascii="標楷體" w:eastAsia="標楷體" w:hAnsi="標楷體"/>
                <w:szCs w:val="24"/>
              </w:rPr>
              <w:t>)</w:t>
            </w:r>
            <w:r>
              <w:rPr>
                <w:rFonts w:ascii="標楷體" w:eastAsia="標楷體" w:hAnsi="標楷體"/>
                <w:szCs w:val="24"/>
                <w:u w:val="single"/>
              </w:rPr>
              <w:t>，並得將共同管道管理相關業務委任建設局所屬機關或委託臺中市政府所屬各區公所執行</w:t>
            </w:r>
            <w:r>
              <w:rPr>
                <w:rFonts w:ascii="標楷體" w:eastAsia="標楷體" w:hAnsi="標楷體"/>
                <w:szCs w:val="24"/>
              </w:rPr>
              <w:t>。</w:t>
            </w:r>
          </w:p>
        </w:tc>
        <w:tc>
          <w:tcPr>
            <w:tcW w:w="293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F00D67" w:rsidRDefault="00AB1C6A">
            <w:pPr>
              <w:pStyle w:val="Standard"/>
              <w:ind w:left="170" w:hanging="168"/>
              <w:jc w:val="both"/>
            </w:pPr>
            <w:r>
              <w:rPr>
                <w:rFonts w:ascii="標楷體" w:eastAsia="標楷體" w:hAnsi="標楷體"/>
                <w:szCs w:val="24"/>
              </w:rPr>
              <w:t>第二條</w:t>
            </w:r>
            <w:r>
              <w:rPr>
                <w:rFonts w:ascii="標楷體" w:eastAsia="標楷體" w:hAnsi="標楷體"/>
                <w:szCs w:val="24"/>
              </w:rPr>
              <w:t xml:space="preserve">  </w:t>
            </w:r>
            <w:r>
              <w:rPr>
                <w:rFonts w:ascii="標楷體" w:eastAsia="標楷體" w:hAnsi="標楷體"/>
                <w:szCs w:val="24"/>
              </w:rPr>
              <w:t>本辦法之主管機關為臺中市政府建設局</w:t>
            </w:r>
            <w:r>
              <w:rPr>
                <w:rFonts w:ascii="標楷體" w:eastAsia="標楷體" w:hAnsi="標楷體"/>
                <w:szCs w:val="24"/>
              </w:rPr>
              <w:t>(</w:t>
            </w:r>
            <w:r>
              <w:rPr>
                <w:rFonts w:ascii="標楷體" w:eastAsia="標楷體" w:hAnsi="標楷體"/>
                <w:szCs w:val="24"/>
              </w:rPr>
              <w:t>以下簡稱建設局</w:t>
            </w:r>
            <w:r>
              <w:rPr>
                <w:rFonts w:ascii="標楷體" w:eastAsia="標楷體" w:hAnsi="標楷體"/>
                <w:szCs w:val="24"/>
              </w:rPr>
              <w:t>)</w:t>
            </w:r>
            <w:r>
              <w:rPr>
                <w:rFonts w:ascii="標楷體" w:eastAsia="標楷體" w:hAnsi="標楷體"/>
                <w:szCs w:val="24"/>
              </w:rPr>
              <w:t>。</w:t>
            </w:r>
          </w:p>
        </w:tc>
        <w:tc>
          <w:tcPr>
            <w:tcW w:w="292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F00D67" w:rsidRDefault="00AB1C6A">
            <w:pPr>
              <w:pStyle w:val="a6"/>
              <w:numPr>
                <w:ilvl w:val="0"/>
                <w:numId w:val="9"/>
              </w:numPr>
              <w:jc w:val="both"/>
            </w:pPr>
            <w:r>
              <w:rPr>
                <w:rFonts w:ascii="標楷體" w:eastAsia="標楷體" w:hAnsi="標楷體"/>
                <w:szCs w:val="24"/>
              </w:rPr>
              <w:t>因應建設局所屬二級機關成立，為利二級機關執行業務，參酌臺中市道路挖掘管理自治條例第二條規定，增列權限委任以及委託之規定。</w:t>
            </w:r>
          </w:p>
          <w:p w:rsidR="00F00D67" w:rsidRDefault="00AB1C6A">
            <w:pPr>
              <w:pStyle w:val="a6"/>
              <w:numPr>
                <w:ilvl w:val="0"/>
                <w:numId w:val="7"/>
              </w:numPr>
              <w:jc w:val="both"/>
            </w:pPr>
            <w:r>
              <w:rPr>
                <w:rFonts w:ascii="標楷體" w:eastAsia="標楷體" w:hAnsi="標楷體"/>
                <w:szCs w:val="24"/>
              </w:rPr>
              <w:t>另配合臺中市政府組織權限劃分自治條例第三條與臺中市政府所屬機關權限委託辦法第二條暨附表辦理修正，以資明確。</w:t>
            </w:r>
          </w:p>
        </w:tc>
      </w:tr>
    </w:tbl>
    <w:p w:rsidR="00F00D67" w:rsidRDefault="00F00D67">
      <w:pPr>
        <w:pStyle w:val="Standard"/>
        <w:widowControl/>
        <w:rPr>
          <w:rFonts w:ascii="標楷體" w:eastAsia="標楷體" w:hAnsi="標楷體"/>
          <w:sz w:val="28"/>
          <w:szCs w:val="28"/>
        </w:rPr>
      </w:pPr>
    </w:p>
    <w:p w:rsidR="00F00D67" w:rsidRDefault="00F00D67">
      <w:pPr>
        <w:pStyle w:val="Standard"/>
        <w:widowControl/>
        <w:rPr>
          <w:rFonts w:ascii="標楷體" w:eastAsia="標楷體" w:hAnsi="標楷體"/>
          <w:sz w:val="28"/>
          <w:szCs w:val="28"/>
        </w:rPr>
      </w:pPr>
    </w:p>
    <w:p w:rsidR="00F00D67" w:rsidRDefault="00AB1C6A">
      <w:pPr>
        <w:pStyle w:val="Standard"/>
        <w:pageBreakBefore/>
      </w:pPr>
      <w:r>
        <w:rPr>
          <w:rFonts w:ascii="標楷體" w:eastAsia="標楷體" w:hAnsi="標楷體"/>
          <w:bCs/>
          <w:sz w:val="40"/>
          <w:szCs w:val="40"/>
        </w:rPr>
        <w:lastRenderedPageBreak/>
        <w:t>臺中市共同管道管理辦法第二條</w:t>
      </w:r>
      <w:r>
        <w:rPr>
          <w:rFonts w:ascii="標楷體" w:eastAsia="標楷體" w:hAnsi="標楷體" w:cs="Times New Roman"/>
          <w:bCs/>
          <w:sz w:val="40"/>
          <w:szCs w:val="40"/>
        </w:rPr>
        <w:t>修正條文</w:t>
      </w:r>
    </w:p>
    <w:p w:rsidR="00F00D67" w:rsidRDefault="00AB1C6A">
      <w:pPr>
        <w:pStyle w:val="Standard"/>
        <w:spacing w:line="460" w:lineRule="exact"/>
        <w:ind w:left="842" w:hanging="840"/>
        <w:jc w:val="both"/>
      </w:pPr>
      <w:r>
        <w:rPr>
          <w:rFonts w:ascii="標楷體" w:eastAsia="標楷體" w:hAnsi="標楷體" w:cs="DFKaiShu-SB-Estd-BF"/>
          <w:kern w:val="0"/>
          <w:sz w:val="28"/>
          <w:szCs w:val="28"/>
        </w:rPr>
        <w:t>第二條　　本辦法之主管機關為臺中市政府建設局</w:t>
      </w:r>
      <w:r>
        <w:rPr>
          <w:rFonts w:ascii="標楷體" w:eastAsia="標楷體" w:hAnsi="標楷體" w:cs="DFKaiShu-SB-Estd-BF"/>
          <w:kern w:val="0"/>
          <w:sz w:val="28"/>
          <w:szCs w:val="28"/>
        </w:rPr>
        <w:t>(</w:t>
      </w:r>
      <w:r>
        <w:rPr>
          <w:rFonts w:ascii="標楷體" w:eastAsia="標楷體" w:hAnsi="標楷體" w:cs="DFKaiShu-SB-Estd-BF"/>
          <w:kern w:val="0"/>
          <w:sz w:val="28"/>
          <w:szCs w:val="28"/>
        </w:rPr>
        <w:t>以下簡稱建設局</w:t>
      </w:r>
      <w:r>
        <w:rPr>
          <w:rFonts w:ascii="標楷體" w:eastAsia="標楷體" w:hAnsi="標楷體" w:cs="DFKaiShu-SB-Estd-BF"/>
          <w:kern w:val="0"/>
          <w:sz w:val="28"/>
          <w:szCs w:val="28"/>
        </w:rPr>
        <w:t>)</w:t>
      </w:r>
      <w:r>
        <w:rPr>
          <w:rFonts w:ascii="標楷體" w:eastAsia="標楷體" w:hAnsi="標楷體" w:cs="DFKaiShu-SB-Estd-BF"/>
          <w:kern w:val="0"/>
          <w:sz w:val="28"/>
          <w:szCs w:val="28"/>
        </w:rPr>
        <w:t>，並得將共同管道管理相關業務委任建設局所屬機關或委託臺中市政府所屬各區公所執行。</w:t>
      </w:r>
    </w:p>
    <w:sectPr w:rsidR="00F00D67">
      <w:pgSz w:w="11906" w:h="16838"/>
      <w:pgMar w:top="1418" w:right="1418" w:bottom="1418" w:left="1701" w:header="720" w:footer="720" w:gutter="0"/>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1C6A" w:rsidRDefault="00AB1C6A">
      <w:r>
        <w:separator/>
      </w:r>
    </w:p>
  </w:endnote>
  <w:endnote w:type="continuationSeparator" w:id="0">
    <w:p w:rsidR="00AB1C6A" w:rsidRDefault="00AB1C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F">
    <w:altName w:val="Times New Roman"/>
    <w:charset w:val="00"/>
    <w:family w:val="auto"/>
    <w:pitch w:val="variable"/>
  </w:font>
  <w:font w:name="Liberation Sans">
    <w:charset w:val="00"/>
    <w:family w:val="swiss"/>
    <w:pitch w:val="variable"/>
  </w:font>
  <w:font w:name="微軟正黑體">
    <w:panose1 w:val="020B0604030504040204"/>
    <w:charset w:val="88"/>
    <w:family w:val="swiss"/>
    <w:pitch w:val="variable"/>
    <w:sig w:usb0="00000087" w:usb1="288F4000" w:usb2="00000016" w:usb3="00000000" w:csb0="00100009" w:csb1="00000000"/>
  </w:font>
  <w:font w:name="Mangal">
    <w:panose1 w:val="02040503050203030202"/>
    <w:charset w:val="00"/>
    <w:family w:val="roman"/>
    <w:pitch w:val="variable"/>
    <w:sig w:usb0="00008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標楷體6敲">
    <w:charset w:val="00"/>
    <w:family w:val="roman"/>
    <w:pitch w:val="variable"/>
  </w:font>
  <w:font w:name="DFKaiShu-SB-Estd-BF">
    <w:charset w:val="00"/>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1C6A" w:rsidRDefault="00AB1C6A">
      <w:r>
        <w:rPr>
          <w:color w:val="000000"/>
        </w:rPr>
        <w:separator/>
      </w:r>
    </w:p>
  </w:footnote>
  <w:footnote w:type="continuationSeparator" w:id="0">
    <w:p w:rsidR="00AB1C6A" w:rsidRDefault="00AB1C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6672B3"/>
    <w:multiLevelType w:val="multilevel"/>
    <w:tmpl w:val="2D600A98"/>
    <w:styleLink w:val="NoList"/>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 w15:restartNumberingAfterBreak="0">
    <w:nsid w:val="48B808CE"/>
    <w:multiLevelType w:val="multilevel"/>
    <w:tmpl w:val="E27E93AC"/>
    <w:styleLink w:val="WWNum2"/>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4BA717F7"/>
    <w:multiLevelType w:val="multilevel"/>
    <w:tmpl w:val="1CDA5E66"/>
    <w:styleLink w:val="WWNum3"/>
    <w:lvl w:ilvl="0">
      <w:start w:val="1"/>
      <w:numFmt w:val="japaneseCounting"/>
      <w:lvlText w:val="%1、"/>
      <w:lvlJc w:val="left"/>
      <w:pPr>
        <w:ind w:left="480" w:hanging="480"/>
      </w:pPr>
      <w:rPr>
        <w:u w:val="singl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58062B22"/>
    <w:multiLevelType w:val="multilevel"/>
    <w:tmpl w:val="C65AF87A"/>
    <w:styleLink w:val="WWNum5"/>
    <w:lvl w:ilvl="0">
      <w:start w:val="1"/>
      <w:numFmt w:val="japaneseCounting"/>
      <w:lvlText w:val="%1、"/>
      <w:lvlJc w:val="left"/>
      <w:pPr>
        <w:ind w:left="480" w:hanging="480"/>
      </w:pPr>
      <w:rPr>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5B691EB1"/>
    <w:multiLevelType w:val="multilevel"/>
    <w:tmpl w:val="53E859D4"/>
    <w:styleLink w:val="WWNum1"/>
    <w:lvl w:ilvl="0">
      <w:start w:val="1"/>
      <w:numFmt w:val="japaneseCounting"/>
      <w:lvlText w:val="%1、"/>
      <w:lvlJc w:val="left"/>
      <w:pPr>
        <w:ind w:left="720" w:hanging="720"/>
      </w:pPr>
      <w:rPr>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79DF2CA9"/>
    <w:multiLevelType w:val="multilevel"/>
    <w:tmpl w:val="2AA0BCC8"/>
    <w:styleLink w:val="WWNum6"/>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7B4008D8"/>
    <w:multiLevelType w:val="multilevel"/>
    <w:tmpl w:val="D996D0D0"/>
    <w:styleLink w:val="WWNum7"/>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7ECE0A53"/>
    <w:multiLevelType w:val="multilevel"/>
    <w:tmpl w:val="84342D1A"/>
    <w:styleLink w:val="WWNum4"/>
    <w:lvl w:ilvl="0">
      <w:start w:val="1"/>
      <w:numFmt w:val="japaneseCounting"/>
      <w:lvlText w:val="%1、"/>
      <w:lvlJc w:val="left"/>
      <w:pPr>
        <w:ind w:left="480" w:hanging="480"/>
      </w:pPr>
      <w:rPr>
        <w:u w:val="singl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0"/>
  </w:num>
  <w:num w:numId="2">
    <w:abstractNumId w:val="4"/>
  </w:num>
  <w:num w:numId="3">
    <w:abstractNumId w:val="1"/>
  </w:num>
  <w:num w:numId="4">
    <w:abstractNumId w:val="2"/>
  </w:num>
  <w:num w:numId="5">
    <w:abstractNumId w:val="7"/>
  </w:num>
  <w:num w:numId="6">
    <w:abstractNumId w:val="3"/>
  </w:num>
  <w:num w:numId="7">
    <w:abstractNumId w:val="5"/>
  </w:num>
  <w:num w:numId="8">
    <w:abstractNumId w:val="6"/>
  </w:num>
  <w:num w:numId="9">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F00D67"/>
    <w:rsid w:val="00322E1E"/>
    <w:rsid w:val="00675714"/>
    <w:rsid w:val="00AB1C6A"/>
    <w:rsid w:val="00F00D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B74A97-5474-428A-BD33-BAA5F44EA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F"/>
        <w:kern w:val="3"/>
        <w:sz w:val="24"/>
        <w:szCs w:val="22"/>
        <w:lang w:val="en-US" w:eastAsia="zh-TW"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88"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szCs w:val="24"/>
    </w:rPr>
  </w:style>
  <w:style w:type="paragraph" w:customStyle="1" w:styleId="Index">
    <w:name w:val="Index"/>
    <w:basedOn w:val="Standard"/>
    <w:pPr>
      <w:suppressLineNumbers/>
    </w:pPr>
    <w:rPr>
      <w:rFonts w:cs="Mangal"/>
    </w:rPr>
  </w:style>
  <w:style w:type="paragraph" w:customStyle="1" w:styleId="a5">
    <w:name w:val="草案條文"/>
    <w:basedOn w:val="Standard"/>
    <w:pPr>
      <w:ind w:left="283" w:hanging="283"/>
      <w:jc w:val="both"/>
    </w:pPr>
    <w:rPr>
      <w:rFonts w:ascii="標楷體" w:eastAsia="標楷體" w:hAnsi="標楷體" w:cs="Times New Roman"/>
      <w:color w:val="000000"/>
      <w:szCs w:val="24"/>
    </w:rPr>
  </w:style>
  <w:style w:type="paragraph" w:styleId="a6">
    <w:name w:val="List Paragraph"/>
    <w:basedOn w:val="Standard"/>
    <w:pPr>
      <w:ind w:left="480"/>
    </w:pPr>
  </w:style>
  <w:style w:type="paragraph" w:styleId="a7">
    <w:name w:val="header"/>
    <w:basedOn w:val="Standard"/>
    <w:pPr>
      <w:tabs>
        <w:tab w:val="center" w:pos="4153"/>
        <w:tab w:val="right" w:pos="8306"/>
      </w:tabs>
      <w:snapToGrid w:val="0"/>
    </w:pPr>
    <w:rPr>
      <w:sz w:val="20"/>
      <w:szCs w:val="20"/>
    </w:rPr>
  </w:style>
  <w:style w:type="paragraph" w:styleId="a8">
    <w:name w:val="footer"/>
    <w:basedOn w:val="Standard"/>
    <w:pPr>
      <w:tabs>
        <w:tab w:val="center" w:pos="4153"/>
        <w:tab w:val="right" w:pos="8306"/>
      </w:tabs>
      <w:snapToGrid w:val="0"/>
    </w:pPr>
    <w:rPr>
      <w:sz w:val="20"/>
      <w:szCs w:val="20"/>
    </w:rPr>
  </w:style>
  <w:style w:type="paragraph" w:styleId="a9">
    <w:name w:val="Balloon Text"/>
    <w:basedOn w:val="Standard"/>
    <w:rPr>
      <w:rFonts w:ascii="Calibri Light" w:hAnsi="Calibri Light"/>
      <w:sz w:val="18"/>
      <w:szCs w:val="18"/>
    </w:rPr>
  </w:style>
  <w:style w:type="paragraph" w:styleId="aa">
    <w:name w:val="Plain Text"/>
    <w:basedOn w:val="Standard"/>
    <w:rPr>
      <w:rFonts w:cs="Courier New"/>
      <w:szCs w:val="24"/>
    </w:rPr>
  </w:style>
  <w:style w:type="paragraph" w:styleId="HTML">
    <w:name w:val="HTML Preformatted"/>
    <w:basedOn w:val="Standard"/>
    <w:rPr>
      <w:rFonts w:ascii="Courier New" w:eastAsia="Courier New" w:hAnsi="Courier New" w:cs="Courier New"/>
      <w:sz w:val="20"/>
      <w:szCs w:val="20"/>
    </w:rPr>
  </w:style>
  <w:style w:type="paragraph" w:customStyle="1" w:styleId="Textbodyindent">
    <w:name w:val="Text body indent"/>
    <w:basedOn w:val="Standard"/>
    <w:pPr>
      <w:spacing w:line="420" w:lineRule="exact"/>
      <w:ind w:left="1962" w:hanging="560"/>
      <w:jc w:val="both"/>
    </w:pPr>
    <w:rPr>
      <w:rFonts w:ascii="標楷體" w:eastAsia="標楷體" w:hAnsi="標楷體" w:cs="Times New Roman"/>
      <w:sz w:val="28"/>
      <w:szCs w:val="28"/>
    </w:rPr>
  </w:style>
  <w:style w:type="paragraph" w:styleId="2">
    <w:name w:val="Body Text Indent 2"/>
    <w:basedOn w:val="Standard"/>
    <w:pPr>
      <w:spacing w:line="420" w:lineRule="exact"/>
      <w:ind w:left="1960" w:hanging="563"/>
    </w:pPr>
    <w:rPr>
      <w:rFonts w:ascii="標楷體" w:eastAsia="標楷體" w:hAnsi="標楷體" w:cs="Times New Roman"/>
      <w:sz w:val="28"/>
      <w:szCs w:val="28"/>
    </w:rPr>
  </w:style>
  <w:style w:type="paragraph" w:customStyle="1" w:styleId="Default">
    <w:name w:val="Default"/>
    <w:rPr>
      <w:rFonts w:ascii="標楷體6敲" w:eastAsia="標楷體6敲" w:hAnsi="標楷體6敲" w:cs="標楷體6敲"/>
      <w:color w:val="000000"/>
      <w:kern w:val="0"/>
      <w:szCs w:val="24"/>
    </w:rPr>
  </w:style>
  <w:style w:type="character" w:customStyle="1" w:styleId="ab">
    <w:name w:val="頁首 字元"/>
    <w:basedOn w:val="a0"/>
    <w:rPr>
      <w:sz w:val="20"/>
      <w:szCs w:val="20"/>
    </w:rPr>
  </w:style>
  <w:style w:type="character" w:customStyle="1" w:styleId="ac">
    <w:name w:val="頁尾 字元"/>
    <w:basedOn w:val="a0"/>
    <w:rPr>
      <w:sz w:val="20"/>
      <w:szCs w:val="20"/>
    </w:rPr>
  </w:style>
  <w:style w:type="character" w:customStyle="1" w:styleId="ad">
    <w:name w:val="註解方塊文字 字元"/>
    <w:basedOn w:val="a0"/>
    <w:rPr>
      <w:rFonts w:ascii="Calibri Light" w:eastAsia="新細明體" w:hAnsi="Calibri Light" w:cs="F"/>
      <w:sz w:val="18"/>
      <w:szCs w:val="18"/>
    </w:rPr>
  </w:style>
  <w:style w:type="character" w:customStyle="1" w:styleId="ae">
    <w:name w:val="純文字 字元"/>
    <w:basedOn w:val="a0"/>
    <w:rPr>
      <w:rFonts w:ascii="Calibri" w:eastAsia="新細明體" w:hAnsi="Calibri" w:cs="Courier New"/>
      <w:szCs w:val="24"/>
    </w:rPr>
  </w:style>
  <w:style w:type="character" w:customStyle="1" w:styleId="Internetlink">
    <w:name w:val="Internet link"/>
    <w:basedOn w:val="a0"/>
    <w:rPr>
      <w:strike w:val="0"/>
      <w:dstrike w:val="0"/>
      <w:color w:val="017CA5"/>
      <w:u w:val="none"/>
    </w:rPr>
  </w:style>
  <w:style w:type="character" w:customStyle="1" w:styleId="HTML0">
    <w:name w:val="HTML 預設格式 字元"/>
    <w:basedOn w:val="a0"/>
    <w:rPr>
      <w:rFonts w:ascii="Courier New" w:eastAsia="Courier New" w:hAnsi="Courier New" w:cs="Courier New"/>
      <w:sz w:val="20"/>
      <w:szCs w:val="20"/>
    </w:rPr>
  </w:style>
  <w:style w:type="character" w:customStyle="1" w:styleId="af">
    <w:name w:val="本文縮排 字元"/>
    <w:basedOn w:val="a0"/>
    <w:rPr>
      <w:rFonts w:ascii="標楷體" w:eastAsia="標楷體" w:hAnsi="標楷體" w:cs="Times New Roman"/>
      <w:sz w:val="28"/>
      <w:szCs w:val="28"/>
    </w:rPr>
  </w:style>
  <w:style w:type="character" w:customStyle="1" w:styleId="20">
    <w:name w:val="本文縮排 2 字元"/>
    <w:basedOn w:val="a0"/>
    <w:rPr>
      <w:rFonts w:ascii="標楷體" w:eastAsia="標楷體" w:hAnsi="標楷體" w:cs="Times New Roman"/>
      <w:sz w:val="28"/>
      <w:szCs w:val="28"/>
    </w:rPr>
  </w:style>
  <w:style w:type="character" w:customStyle="1" w:styleId="ListLabel1">
    <w:name w:val="ListLabel 1"/>
    <w:rPr>
      <w:lang w:val="en-US"/>
    </w:rPr>
  </w:style>
  <w:style w:type="character" w:customStyle="1" w:styleId="ListLabel2">
    <w:name w:val="ListLabel 2"/>
    <w:rPr>
      <w:rFonts w:cs="Times New Roman"/>
    </w:rPr>
  </w:style>
  <w:style w:type="character" w:customStyle="1" w:styleId="ListLabel3">
    <w:name w:val="ListLabel 3"/>
    <w:rPr>
      <w:u w:val="single"/>
    </w:rPr>
  </w:style>
  <w:style w:type="character" w:customStyle="1" w:styleId="ListLabel4">
    <w:name w:val="ListLabel 4"/>
    <w:rPr>
      <w:u w:val="single"/>
    </w:rPr>
  </w:style>
  <w:style w:type="character" w:customStyle="1" w:styleId="ListLabel5">
    <w:name w:val="ListLabel 5"/>
    <w:rPr>
      <w:u w:val="none"/>
    </w:rPr>
  </w:style>
  <w:style w:type="numbering" w:customStyle="1" w:styleId="NoList">
    <w:name w:val="No List"/>
    <w:basedOn w:val="a2"/>
    <w:pPr>
      <w:numPr>
        <w:numId w:val="1"/>
      </w:numPr>
    </w:pPr>
  </w:style>
  <w:style w:type="numbering" w:customStyle="1" w:styleId="WWNum1">
    <w:name w:val="WWNum1"/>
    <w:basedOn w:val="a2"/>
    <w:pPr>
      <w:numPr>
        <w:numId w:val="2"/>
      </w:numPr>
    </w:pPr>
  </w:style>
  <w:style w:type="numbering" w:customStyle="1" w:styleId="WWNum2">
    <w:name w:val="WWNum2"/>
    <w:basedOn w:val="a2"/>
    <w:pPr>
      <w:numPr>
        <w:numId w:val="3"/>
      </w:numPr>
    </w:pPr>
  </w:style>
  <w:style w:type="numbering" w:customStyle="1" w:styleId="WWNum3">
    <w:name w:val="WWNum3"/>
    <w:basedOn w:val="a2"/>
    <w:pPr>
      <w:numPr>
        <w:numId w:val="4"/>
      </w:numPr>
    </w:pPr>
  </w:style>
  <w:style w:type="numbering" w:customStyle="1" w:styleId="WWNum4">
    <w:name w:val="WWNum4"/>
    <w:basedOn w:val="a2"/>
    <w:pPr>
      <w:numPr>
        <w:numId w:val="5"/>
      </w:numPr>
    </w:pPr>
  </w:style>
  <w:style w:type="numbering" w:customStyle="1" w:styleId="WWNum5">
    <w:name w:val="WWNum5"/>
    <w:basedOn w:val="a2"/>
    <w:pPr>
      <w:numPr>
        <w:numId w:val="6"/>
      </w:numPr>
    </w:pPr>
  </w:style>
  <w:style w:type="numbering" w:customStyle="1" w:styleId="WWNum6">
    <w:name w:val="WWNum6"/>
    <w:basedOn w:val="a2"/>
    <w:pPr>
      <w:numPr>
        <w:numId w:val="7"/>
      </w:numPr>
    </w:pPr>
  </w:style>
  <w:style w:type="numbering" w:customStyle="1" w:styleId="WWNum7">
    <w:name w:val="WWNum7"/>
    <w:basedOn w:val="a2"/>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79</Words>
  <Characters>451</Characters>
  <Application>Microsoft Office Word</Application>
  <DocSecurity>0</DocSecurity>
  <Lines>3</Lines>
  <Paragraphs>1</Paragraphs>
  <ScaleCrop>false</ScaleCrop>
  <Company/>
  <LinksUpToDate>false</LinksUpToDate>
  <CharactersWithSpaces>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蔡耀鋒</dc:creator>
  <cp:lastModifiedBy>施右容</cp:lastModifiedBy>
  <cp:revision>2</cp:revision>
  <cp:lastPrinted>2019-11-05T05:23:00Z</cp:lastPrinted>
  <dcterms:created xsi:type="dcterms:W3CDTF">2019-11-29T08:51:00Z</dcterms:created>
  <dcterms:modified xsi:type="dcterms:W3CDTF">2019-11-29T08:51:00Z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