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89A" w:rsidRDefault="004038BB">
      <w:pPr>
        <w:spacing w:after="180" w:line="0" w:lineRule="atLeast"/>
        <w:jc w:val="center"/>
        <w:rPr>
          <w:rFonts w:ascii="標楷體" w:eastAsia="標楷體" w:hAnsi="標楷體"/>
          <w:sz w:val="40"/>
          <w:szCs w:val="40"/>
        </w:rPr>
      </w:pPr>
      <w:bookmarkStart w:id="0" w:name="_GoBack"/>
      <w:bookmarkEnd w:id="0"/>
      <w:r>
        <w:rPr>
          <w:rFonts w:ascii="標楷體" w:eastAsia="標楷體" w:hAnsi="標楷體"/>
          <w:sz w:val="40"/>
          <w:szCs w:val="40"/>
        </w:rPr>
        <w:t>臺中市大眾捷運系統修建養護規則總說明</w:t>
      </w:r>
    </w:p>
    <w:p w:rsidR="00C9589A" w:rsidRDefault="004038BB">
      <w:pPr>
        <w:overflowPunct w:val="0"/>
        <w:spacing w:line="460" w:lineRule="exact"/>
        <w:ind w:firstLine="567"/>
        <w:jc w:val="both"/>
      </w:pPr>
      <w:r>
        <w:rPr>
          <w:rFonts w:eastAsia="標楷體" w:cs="標楷體"/>
          <w:bCs/>
          <w:sz w:val="28"/>
          <w:szCs w:val="32"/>
        </w:rPr>
        <w:t>「臺中市大眾捷運系統</w:t>
      </w:r>
      <w:r>
        <w:rPr>
          <w:rFonts w:ascii="標楷體" w:eastAsia="標楷體" w:hAnsi="標楷體"/>
          <w:sz w:val="28"/>
          <w:szCs w:val="28"/>
        </w:rPr>
        <w:t>修建養護</w:t>
      </w:r>
      <w:r>
        <w:rPr>
          <w:rFonts w:eastAsia="標楷體" w:cs="標楷體"/>
          <w:bCs/>
          <w:sz w:val="28"/>
          <w:szCs w:val="32"/>
        </w:rPr>
        <w:t>規則」</w:t>
      </w:r>
      <w:r>
        <w:rPr>
          <w:rFonts w:eastAsia="標楷體" w:cs="標楷體"/>
          <w:bCs/>
          <w:sz w:val="28"/>
          <w:szCs w:val="32"/>
        </w:rPr>
        <w:t>(</w:t>
      </w:r>
      <w:r>
        <w:rPr>
          <w:rFonts w:eastAsia="標楷體" w:cs="標楷體"/>
          <w:bCs/>
          <w:sz w:val="28"/>
          <w:szCs w:val="32"/>
        </w:rPr>
        <w:t>以下簡稱本規則</w:t>
      </w:r>
      <w:r>
        <w:rPr>
          <w:rFonts w:eastAsia="標楷體" w:cs="標楷體"/>
          <w:bCs/>
          <w:sz w:val="28"/>
          <w:szCs w:val="32"/>
        </w:rPr>
        <w:t>)</w:t>
      </w:r>
      <w:r>
        <w:rPr>
          <w:rFonts w:eastAsia="標楷體" w:cs="標楷體"/>
          <w:bCs/>
          <w:sz w:val="28"/>
          <w:szCs w:val="32"/>
        </w:rPr>
        <w:t>主要係規範臺中市政府主管之大眾捷運系統之修建養護事項。本規則根據「大眾捷運法」第八章「附則」等章節法源精神訂定，全文計十七條，其要點如下：</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本規則訂定之法源依據。</w:t>
      </w:r>
      <w:r>
        <w:rPr>
          <w:rFonts w:ascii="標楷體" w:eastAsia="標楷體" w:hAnsi="標楷體" w:cs="標楷體"/>
          <w:bCs/>
          <w:sz w:val="28"/>
          <w:szCs w:val="32"/>
        </w:rPr>
        <w:t>(</w:t>
      </w:r>
      <w:r>
        <w:rPr>
          <w:rFonts w:ascii="標楷體" w:eastAsia="標楷體" w:hAnsi="標楷體" w:cs="標楷體"/>
          <w:bCs/>
          <w:sz w:val="28"/>
          <w:szCs w:val="32"/>
        </w:rPr>
        <w:t>第一條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本規則適用範圍。</w:t>
      </w:r>
      <w:r>
        <w:rPr>
          <w:rFonts w:ascii="標楷體" w:eastAsia="標楷體" w:hAnsi="標楷體" w:cs="標楷體"/>
          <w:bCs/>
          <w:sz w:val="28"/>
          <w:szCs w:val="32"/>
        </w:rPr>
        <w:t>(</w:t>
      </w:r>
      <w:r>
        <w:rPr>
          <w:rFonts w:ascii="標楷體" w:eastAsia="標楷體" w:hAnsi="標楷體" w:cs="標楷體"/>
          <w:bCs/>
          <w:sz w:val="28"/>
          <w:szCs w:val="32"/>
        </w:rPr>
        <w:t>第二條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明定路線設施、機電設備之種類型式。</w:t>
      </w:r>
      <w:r>
        <w:rPr>
          <w:rFonts w:ascii="標楷體" w:eastAsia="標楷體" w:hAnsi="標楷體" w:cs="標楷體"/>
          <w:bCs/>
          <w:sz w:val="28"/>
          <w:szCs w:val="32"/>
        </w:rPr>
        <w:t>(</w:t>
      </w:r>
      <w:r>
        <w:rPr>
          <w:rFonts w:ascii="標楷體" w:eastAsia="標楷體" w:hAnsi="標楷體" w:cs="標楷體"/>
          <w:bCs/>
          <w:sz w:val="28"/>
          <w:szCs w:val="32"/>
        </w:rPr>
        <w:t>第三條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規範營運機構對於新設、改建路線設施及機電設備之使用限制。</w:t>
      </w:r>
      <w:r>
        <w:rPr>
          <w:rFonts w:ascii="標楷體" w:eastAsia="標楷體" w:hAnsi="標楷體" w:cs="標楷體"/>
          <w:bCs/>
          <w:sz w:val="28"/>
          <w:szCs w:val="32"/>
        </w:rPr>
        <w:t>(</w:t>
      </w:r>
      <w:r>
        <w:rPr>
          <w:rFonts w:ascii="標楷體" w:eastAsia="標楷體" w:hAnsi="標楷體" w:cs="標楷體"/>
          <w:bCs/>
          <w:sz w:val="28"/>
          <w:szCs w:val="32"/>
        </w:rPr>
        <w:t>第四條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規範路線設施及機電設備之檢修型式並應將其檢修紀錄存查。</w:t>
      </w:r>
      <w:r>
        <w:rPr>
          <w:rFonts w:ascii="標楷體" w:eastAsia="標楷體" w:hAnsi="標楷體" w:cs="標楷體"/>
          <w:bCs/>
          <w:sz w:val="28"/>
          <w:szCs w:val="32"/>
        </w:rPr>
        <w:t>(</w:t>
      </w:r>
      <w:r>
        <w:rPr>
          <w:rFonts w:ascii="標楷體" w:eastAsia="標楷體" w:hAnsi="標楷體" w:cs="標楷體"/>
          <w:bCs/>
          <w:sz w:val="28"/>
          <w:szCs w:val="32"/>
        </w:rPr>
        <w:t>第五條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規範營運機構每年應執行總檢查一次，以確保路線設施養護品質。</w:t>
      </w:r>
      <w:r>
        <w:rPr>
          <w:rFonts w:ascii="標楷體" w:eastAsia="標楷體" w:hAnsi="標楷體" w:cs="標楷體"/>
          <w:bCs/>
          <w:sz w:val="28"/>
          <w:szCs w:val="32"/>
        </w:rPr>
        <w:t>(</w:t>
      </w:r>
      <w:r>
        <w:rPr>
          <w:rFonts w:ascii="標楷體" w:eastAsia="標楷體" w:hAnsi="標楷體" w:cs="標楷體"/>
          <w:bCs/>
          <w:sz w:val="28"/>
          <w:szCs w:val="32"/>
        </w:rPr>
        <w:t>第六條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規範營運機構應就路線設施執行臨時檢修時機。</w:t>
      </w:r>
      <w:r>
        <w:rPr>
          <w:rFonts w:ascii="標楷體" w:eastAsia="標楷體" w:hAnsi="標楷體" w:cs="標楷體"/>
          <w:bCs/>
          <w:sz w:val="28"/>
          <w:szCs w:val="32"/>
        </w:rPr>
        <w:t>(</w:t>
      </w:r>
      <w:r>
        <w:rPr>
          <w:rFonts w:ascii="標楷體" w:eastAsia="標楷體" w:hAnsi="標楷體" w:cs="標楷體"/>
          <w:bCs/>
          <w:sz w:val="28"/>
          <w:szCs w:val="32"/>
        </w:rPr>
        <w:t>第七條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規範營運機構應確保路線設施之品質與安全，於路基、軌道設備，如因性能劣化、磨損已達規定限度或有危險之虞時，可能影響營運安全，營運機構應即抽換或更新。</w:t>
      </w:r>
      <w:r>
        <w:rPr>
          <w:rFonts w:ascii="標楷體" w:eastAsia="標楷體" w:hAnsi="標楷體" w:cs="標楷體"/>
          <w:bCs/>
          <w:sz w:val="28"/>
          <w:szCs w:val="32"/>
        </w:rPr>
        <w:t>(</w:t>
      </w:r>
      <w:r>
        <w:rPr>
          <w:rFonts w:ascii="標楷體" w:eastAsia="標楷體" w:hAnsi="標楷體" w:cs="標楷體"/>
          <w:bCs/>
          <w:sz w:val="28"/>
          <w:szCs w:val="32"/>
        </w:rPr>
        <w:t>第八條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規範橋梁隧道等如有異常，應查明原因並改善。</w:t>
      </w:r>
      <w:r>
        <w:rPr>
          <w:rFonts w:ascii="標楷體" w:eastAsia="標楷體" w:hAnsi="標楷體" w:cs="標楷體"/>
          <w:bCs/>
          <w:sz w:val="28"/>
          <w:szCs w:val="32"/>
        </w:rPr>
        <w:t>(</w:t>
      </w:r>
      <w:r>
        <w:rPr>
          <w:rFonts w:ascii="標楷體" w:eastAsia="標楷體" w:hAnsi="標楷體" w:cs="標楷體"/>
          <w:bCs/>
          <w:sz w:val="28"/>
          <w:szCs w:val="32"/>
        </w:rPr>
        <w:t>第九條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規範營運機構應注意橋梁等週邊狀況並予以改善</w:t>
      </w:r>
      <w:r>
        <w:rPr>
          <w:rFonts w:ascii="標楷體" w:eastAsia="標楷體" w:hAnsi="標楷體" w:cs="標楷體"/>
          <w:bCs/>
          <w:sz w:val="28"/>
          <w:szCs w:val="32"/>
        </w:rPr>
        <w:t>，涉及其他機關業務者，應立即洽請辦理。</w:t>
      </w:r>
      <w:r>
        <w:rPr>
          <w:rFonts w:ascii="標楷體" w:eastAsia="標楷體" w:hAnsi="標楷體" w:cs="標楷體"/>
          <w:bCs/>
          <w:sz w:val="28"/>
          <w:szCs w:val="32"/>
        </w:rPr>
        <w:t>(</w:t>
      </w:r>
      <w:r>
        <w:rPr>
          <w:rFonts w:ascii="標楷體" w:eastAsia="標楷體" w:hAnsi="標楷體" w:cs="標楷體"/>
          <w:bCs/>
          <w:sz w:val="28"/>
          <w:szCs w:val="32"/>
        </w:rPr>
        <w:t>第十條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規範橋梁跨越之河流有異常情形時，應派員監控並記錄。</w:t>
      </w:r>
      <w:r>
        <w:rPr>
          <w:rFonts w:ascii="標楷體" w:eastAsia="標楷體" w:hAnsi="標楷體" w:cs="標楷體"/>
          <w:bCs/>
          <w:sz w:val="28"/>
          <w:szCs w:val="32"/>
        </w:rPr>
        <w:t>(</w:t>
      </w:r>
      <w:r>
        <w:rPr>
          <w:rFonts w:ascii="標楷體" w:eastAsia="標楷體" w:hAnsi="標楷體" w:cs="標楷體"/>
          <w:bCs/>
          <w:sz w:val="28"/>
          <w:szCs w:val="32"/>
        </w:rPr>
        <w:t>第十一條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規範捷運場站的排水設施應保持暢通。</w:t>
      </w:r>
      <w:r>
        <w:rPr>
          <w:rFonts w:ascii="標楷體" w:eastAsia="標楷體" w:hAnsi="標楷體" w:cs="標楷體"/>
          <w:bCs/>
          <w:sz w:val="28"/>
          <w:szCs w:val="32"/>
        </w:rPr>
        <w:t>(</w:t>
      </w:r>
      <w:r>
        <w:rPr>
          <w:rFonts w:ascii="標楷體" w:eastAsia="標楷體" w:hAnsi="標楷體" w:cs="標楷體"/>
          <w:bCs/>
          <w:sz w:val="28"/>
          <w:szCs w:val="32"/>
        </w:rPr>
        <w:t>第十二條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規範消防設施及其他附屬設備之檢修型式並應將其檢修紀錄保存以確保安全。</w:t>
      </w:r>
      <w:r>
        <w:rPr>
          <w:rFonts w:ascii="標楷體" w:eastAsia="標楷體" w:hAnsi="標楷體" w:cs="標楷體"/>
          <w:bCs/>
          <w:sz w:val="28"/>
          <w:szCs w:val="32"/>
        </w:rPr>
        <w:t>(</w:t>
      </w:r>
      <w:r>
        <w:rPr>
          <w:rFonts w:ascii="標楷體" w:eastAsia="標楷體" w:hAnsi="標楷體" w:cs="標楷體"/>
          <w:bCs/>
          <w:sz w:val="28"/>
          <w:szCs w:val="32"/>
        </w:rPr>
        <w:t>第十三條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規範營運機構應就機電設備執行臨時檢修時機。</w:t>
      </w:r>
      <w:r>
        <w:rPr>
          <w:rFonts w:ascii="標楷體" w:eastAsia="標楷體" w:hAnsi="標楷體" w:cs="標楷體"/>
          <w:bCs/>
          <w:sz w:val="28"/>
          <w:szCs w:val="32"/>
        </w:rPr>
        <w:t>(</w:t>
      </w:r>
      <w:r>
        <w:rPr>
          <w:rFonts w:ascii="標楷體" w:eastAsia="標楷體" w:hAnsi="標楷體" w:cs="標楷體"/>
          <w:bCs/>
          <w:sz w:val="28"/>
          <w:szCs w:val="32"/>
        </w:rPr>
        <w:t>第十四條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規範規範營運機構應確保機電設備之品質與安全，並執行相關檢修規定。</w:t>
      </w:r>
      <w:r>
        <w:rPr>
          <w:rFonts w:ascii="標楷體" w:eastAsia="標楷體" w:hAnsi="標楷體" w:cs="標楷體"/>
          <w:bCs/>
          <w:sz w:val="28"/>
          <w:szCs w:val="32"/>
        </w:rPr>
        <w:t>(</w:t>
      </w:r>
      <w:r>
        <w:rPr>
          <w:rFonts w:ascii="標楷體" w:eastAsia="標楷體" w:hAnsi="標楷體" w:cs="標楷體"/>
          <w:bCs/>
          <w:sz w:val="28"/>
          <w:szCs w:val="32"/>
        </w:rPr>
        <w:t>第十五條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lastRenderedPageBreak/>
        <w:t>規範營運機構應就路線設施及機電設備訂定檢修規定。</w:t>
      </w:r>
      <w:r>
        <w:rPr>
          <w:rFonts w:ascii="標楷體" w:eastAsia="標楷體" w:hAnsi="標楷體" w:cs="標楷體"/>
          <w:bCs/>
          <w:sz w:val="28"/>
          <w:szCs w:val="32"/>
        </w:rPr>
        <w:t>(</w:t>
      </w:r>
      <w:r>
        <w:rPr>
          <w:rFonts w:ascii="標楷體" w:eastAsia="標楷體" w:hAnsi="標楷體" w:cs="標楷體"/>
          <w:bCs/>
          <w:sz w:val="28"/>
          <w:szCs w:val="32"/>
        </w:rPr>
        <w:t>第十六條</w:t>
      </w:r>
      <w:r>
        <w:rPr>
          <w:rFonts w:ascii="標楷體" w:eastAsia="標楷體" w:hAnsi="標楷體" w:cs="標楷體"/>
          <w:bCs/>
          <w:sz w:val="28"/>
          <w:szCs w:val="32"/>
        </w:rPr>
        <w:t>)</w:t>
      </w:r>
    </w:p>
    <w:p w:rsidR="00C9589A" w:rsidRDefault="004038BB">
      <w:pPr>
        <w:pStyle w:val="a5"/>
        <w:numPr>
          <w:ilvl w:val="0"/>
          <w:numId w:val="22"/>
        </w:numPr>
        <w:overflowPunct w:val="0"/>
        <w:spacing w:line="460" w:lineRule="exact"/>
        <w:ind w:left="1120" w:hanging="1120"/>
        <w:jc w:val="both"/>
        <w:rPr>
          <w:rFonts w:ascii="標楷體" w:eastAsia="標楷體" w:hAnsi="標楷體" w:cs="標楷體"/>
          <w:bCs/>
          <w:sz w:val="28"/>
          <w:szCs w:val="32"/>
        </w:rPr>
      </w:pPr>
      <w:r>
        <w:rPr>
          <w:rFonts w:ascii="標楷體" w:eastAsia="標楷體" w:hAnsi="標楷體" w:cs="標楷體"/>
          <w:bCs/>
          <w:sz w:val="28"/>
          <w:szCs w:val="32"/>
        </w:rPr>
        <w:t>本規則之施行日期。</w:t>
      </w:r>
      <w:r>
        <w:rPr>
          <w:rFonts w:ascii="標楷體" w:eastAsia="標楷體" w:hAnsi="標楷體" w:cs="標楷體"/>
          <w:bCs/>
          <w:sz w:val="28"/>
          <w:szCs w:val="32"/>
        </w:rPr>
        <w:t>(</w:t>
      </w:r>
      <w:r>
        <w:rPr>
          <w:rFonts w:ascii="標楷體" w:eastAsia="標楷體" w:hAnsi="標楷體" w:cs="標楷體"/>
          <w:bCs/>
          <w:sz w:val="28"/>
          <w:szCs w:val="32"/>
        </w:rPr>
        <w:t>第十七條</w:t>
      </w:r>
      <w:r>
        <w:rPr>
          <w:rFonts w:ascii="標楷體" w:eastAsia="標楷體" w:hAnsi="標楷體" w:cs="標楷體"/>
          <w:bCs/>
          <w:sz w:val="28"/>
          <w:szCs w:val="32"/>
        </w:rPr>
        <w:t>)</w:t>
      </w:r>
    </w:p>
    <w:p w:rsidR="00C9589A" w:rsidRDefault="004038BB">
      <w:pPr>
        <w:pageBreakBefore/>
        <w:rPr>
          <w:rFonts w:ascii="標楷體" w:eastAsia="標楷體" w:hAnsi="標楷體"/>
          <w:sz w:val="40"/>
          <w:szCs w:val="44"/>
        </w:rPr>
      </w:pPr>
      <w:r>
        <w:rPr>
          <w:rFonts w:ascii="標楷體" w:eastAsia="標楷體" w:hAnsi="標楷體"/>
          <w:sz w:val="40"/>
          <w:szCs w:val="44"/>
        </w:rPr>
        <w:lastRenderedPageBreak/>
        <w:t>臺中市大眾捷運系統修建養護規則</w:t>
      </w:r>
    </w:p>
    <w:tbl>
      <w:tblPr>
        <w:tblW w:w="9003" w:type="dxa"/>
        <w:tblInd w:w="-106" w:type="dxa"/>
        <w:tblCellMar>
          <w:left w:w="10" w:type="dxa"/>
          <w:right w:w="10" w:type="dxa"/>
        </w:tblCellMar>
        <w:tblLook w:val="0000" w:firstRow="0" w:lastRow="0" w:firstColumn="0" w:lastColumn="0" w:noHBand="0" w:noVBand="0"/>
      </w:tblPr>
      <w:tblGrid>
        <w:gridCol w:w="4467"/>
        <w:gridCol w:w="4536"/>
      </w:tblGrid>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589A" w:rsidRDefault="004038BB">
            <w:pPr>
              <w:jc w:val="center"/>
              <w:rPr>
                <w:rFonts w:ascii="標楷體" w:eastAsia="標楷體" w:hAnsi="標楷體" w:cs="標楷體"/>
                <w:bCs/>
                <w:szCs w:val="32"/>
              </w:rPr>
            </w:pPr>
            <w:r>
              <w:rPr>
                <w:rFonts w:ascii="標楷體" w:eastAsia="標楷體" w:hAnsi="標楷體" w:cs="標楷體"/>
                <w:bCs/>
                <w:szCs w:val="32"/>
              </w:rPr>
              <w:t>名稱</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589A" w:rsidRDefault="004038BB">
            <w:pPr>
              <w:jc w:val="center"/>
              <w:rPr>
                <w:rFonts w:ascii="標楷體" w:eastAsia="標楷體" w:hAnsi="標楷體"/>
                <w:bCs/>
                <w:szCs w:val="24"/>
              </w:rPr>
            </w:pPr>
            <w:r>
              <w:rPr>
                <w:rFonts w:ascii="標楷體" w:eastAsia="標楷體" w:hAnsi="標楷體"/>
                <w:bCs/>
                <w:szCs w:val="24"/>
              </w:rPr>
              <w:t>說明</w:t>
            </w: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 w:hanging="24"/>
              <w:jc w:val="both"/>
              <w:rPr>
                <w:rFonts w:ascii="標楷體" w:eastAsia="標楷體" w:hAnsi="標楷體"/>
                <w:szCs w:val="24"/>
              </w:rPr>
            </w:pPr>
            <w:r>
              <w:rPr>
                <w:rFonts w:ascii="標楷體" w:eastAsia="標楷體" w:hAnsi="標楷體"/>
                <w:szCs w:val="24"/>
              </w:rPr>
              <w:t>臺中市大眾捷運系統修建養護規則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589A" w:rsidRDefault="004038BB">
            <w:pPr>
              <w:jc w:val="both"/>
              <w:rPr>
                <w:rFonts w:ascii="標楷體" w:eastAsia="標楷體" w:hAnsi="標楷體"/>
                <w:szCs w:val="24"/>
              </w:rPr>
            </w:pPr>
            <w:r>
              <w:rPr>
                <w:rFonts w:ascii="標楷體" w:eastAsia="標楷體" w:hAnsi="標楷體"/>
                <w:szCs w:val="24"/>
              </w:rPr>
              <w:t>法規名稱。</w:t>
            </w: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589A" w:rsidRDefault="004038BB">
            <w:pPr>
              <w:jc w:val="center"/>
              <w:rPr>
                <w:rFonts w:ascii="標楷體" w:eastAsia="標楷體" w:hAnsi="標楷體" w:cs="標楷體"/>
                <w:bCs/>
                <w:szCs w:val="24"/>
              </w:rPr>
            </w:pPr>
            <w:r>
              <w:rPr>
                <w:rFonts w:ascii="標楷體" w:eastAsia="標楷體" w:hAnsi="標楷體" w:cs="標楷體"/>
                <w:bCs/>
                <w:szCs w:val="24"/>
              </w:rPr>
              <w:t>條文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589A" w:rsidRDefault="004038BB">
            <w:pPr>
              <w:jc w:val="center"/>
              <w:rPr>
                <w:rFonts w:ascii="標楷體" w:eastAsia="標楷體" w:hAnsi="標楷體"/>
                <w:bCs/>
                <w:szCs w:val="24"/>
              </w:rPr>
            </w:pPr>
            <w:r>
              <w:rPr>
                <w:rFonts w:ascii="標楷體" w:eastAsia="標楷體" w:hAnsi="標楷體"/>
                <w:bCs/>
                <w:szCs w:val="24"/>
              </w:rPr>
              <w:t>說明</w:t>
            </w: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rPr>
                <w:rFonts w:ascii="標楷體" w:eastAsia="標楷體" w:hAnsi="標楷體"/>
                <w:szCs w:val="24"/>
              </w:rPr>
            </w:pPr>
            <w:r>
              <w:rPr>
                <w:rFonts w:ascii="標楷體" w:eastAsia="標楷體" w:hAnsi="標楷體"/>
                <w:szCs w:val="24"/>
              </w:rPr>
              <w:t>第一條</w:t>
            </w:r>
            <w:r>
              <w:rPr>
                <w:rFonts w:ascii="標楷體" w:eastAsia="標楷體" w:hAnsi="標楷體"/>
                <w:szCs w:val="24"/>
              </w:rPr>
              <w:t xml:space="preserve"> </w:t>
            </w:r>
            <w:r>
              <w:rPr>
                <w:rFonts w:ascii="標楷體" w:eastAsia="標楷體" w:hAnsi="標楷體"/>
                <w:szCs w:val="24"/>
              </w:rPr>
              <w:t>本規則依大眾捷運法第五十三條規定訂定之。</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szCs w:val="24"/>
              </w:rPr>
            </w:pPr>
            <w:r>
              <w:rPr>
                <w:rFonts w:ascii="標楷體" w:eastAsia="標楷體" w:hAnsi="標楷體"/>
                <w:szCs w:val="24"/>
              </w:rPr>
              <w:t>本規則訂定之法源依據。</w:t>
            </w:r>
          </w:p>
          <w:p w:rsidR="00C9589A" w:rsidRDefault="00C9589A">
            <w:pPr>
              <w:jc w:val="both"/>
              <w:rPr>
                <w:rFonts w:ascii="標楷體" w:eastAsia="標楷體" w:hAnsi="標楷體"/>
                <w:szCs w:val="24"/>
              </w:rPr>
            </w:pP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rPr>
                <w:rFonts w:ascii="標楷體" w:eastAsia="標楷體" w:hAnsi="標楷體"/>
                <w:szCs w:val="24"/>
              </w:rPr>
            </w:pPr>
            <w:bookmarkStart w:id="1" w:name="_Hlk484013793"/>
            <w:bookmarkStart w:id="2" w:name="_Hlk484013820"/>
            <w:r>
              <w:rPr>
                <w:rFonts w:ascii="標楷體" w:eastAsia="標楷體" w:hAnsi="標楷體"/>
                <w:szCs w:val="24"/>
              </w:rPr>
              <w:t>第二條</w:t>
            </w:r>
            <w:r>
              <w:rPr>
                <w:rFonts w:ascii="標楷體" w:eastAsia="標楷體" w:hAnsi="標楷體"/>
                <w:szCs w:val="24"/>
              </w:rPr>
              <w:t xml:space="preserve"> </w:t>
            </w:r>
            <w:r>
              <w:rPr>
                <w:rFonts w:ascii="標楷體" w:eastAsia="標楷體" w:hAnsi="標楷體"/>
                <w:szCs w:val="24"/>
              </w:rPr>
              <w:t>本規則以臺中市政府（以下簡稱本府）主管之大眾捷運系統營運機構</w:t>
            </w:r>
            <w:r>
              <w:rPr>
                <w:rFonts w:ascii="標楷體" w:eastAsia="標楷體" w:hAnsi="標楷體"/>
                <w:szCs w:val="24"/>
              </w:rPr>
              <w:t>(</w:t>
            </w:r>
            <w:r>
              <w:rPr>
                <w:rFonts w:ascii="標楷體" w:eastAsia="標楷體" w:hAnsi="標楷體"/>
                <w:szCs w:val="24"/>
              </w:rPr>
              <w:t>以下簡稱營運機構</w:t>
            </w:r>
            <w:r>
              <w:rPr>
                <w:rFonts w:ascii="標楷體" w:eastAsia="標楷體" w:hAnsi="標楷體"/>
                <w:szCs w:val="24"/>
              </w:rPr>
              <w:t>)</w:t>
            </w:r>
            <w:r>
              <w:rPr>
                <w:rFonts w:ascii="標楷體" w:eastAsia="標楷體" w:hAnsi="標楷體"/>
                <w:szCs w:val="24"/>
              </w:rPr>
              <w:t>為適用範圍。</w:t>
            </w:r>
            <w:bookmarkEnd w:id="1"/>
            <w:bookmarkEnd w:id="2"/>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szCs w:val="24"/>
              </w:rPr>
            </w:pPr>
            <w:r>
              <w:rPr>
                <w:rFonts w:ascii="標楷體" w:eastAsia="標楷體" w:hAnsi="標楷體"/>
                <w:szCs w:val="24"/>
              </w:rPr>
              <w:t>本規則適用範圍。</w:t>
            </w:r>
          </w:p>
          <w:p w:rsidR="00C9589A" w:rsidRDefault="00C9589A">
            <w:pPr>
              <w:jc w:val="both"/>
              <w:rPr>
                <w:rFonts w:ascii="標楷體" w:eastAsia="標楷體" w:hAnsi="標楷體"/>
                <w:szCs w:val="24"/>
              </w:rPr>
            </w:pPr>
          </w:p>
          <w:p w:rsidR="00C9589A" w:rsidRDefault="00C9589A">
            <w:pPr>
              <w:jc w:val="both"/>
              <w:rPr>
                <w:rFonts w:ascii="標楷體" w:eastAsia="標楷體" w:hAnsi="標楷體"/>
                <w:szCs w:val="24"/>
              </w:rPr>
            </w:pPr>
          </w:p>
        </w:tc>
      </w:tr>
      <w:tr w:rsidR="00C9589A">
        <w:tblPrEx>
          <w:tblCellMar>
            <w:top w:w="0" w:type="dxa"/>
            <w:bottom w:w="0" w:type="dxa"/>
          </w:tblCellMar>
        </w:tblPrEx>
        <w:trPr>
          <w:trHeight w:val="2551"/>
        </w:trPr>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rPr>
                <w:rFonts w:ascii="標楷體" w:eastAsia="標楷體" w:hAnsi="標楷體"/>
                <w:szCs w:val="24"/>
              </w:rPr>
            </w:pPr>
            <w:r>
              <w:rPr>
                <w:rFonts w:ascii="標楷體" w:eastAsia="標楷體" w:hAnsi="標楷體"/>
                <w:szCs w:val="24"/>
              </w:rPr>
              <w:t>第三條</w:t>
            </w:r>
            <w:r>
              <w:rPr>
                <w:rFonts w:ascii="標楷體" w:eastAsia="標楷體" w:hAnsi="標楷體"/>
                <w:szCs w:val="24"/>
              </w:rPr>
              <w:t xml:space="preserve"> </w:t>
            </w:r>
            <w:r>
              <w:rPr>
                <w:rFonts w:ascii="標楷體" w:eastAsia="標楷體" w:hAnsi="標楷體"/>
                <w:szCs w:val="24"/>
              </w:rPr>
              <w:t>本規則用詞，定義如下：</w:t>
            </w:r>
          </w:p>
          <w:p w:rsidR="00C9589A" w:rsidRDefault="004038BB">
            <w:pPr>
              <w:pStyle w:val="a5"/>
              <w:numPr>
                <w:ilvl w:val="0"/>
                <w:numId w:val="23"/>
              </w:numPr>
              <w:jc w:val="both"/>
              <w:rPr>
                <w:rFonts w:ascii="標楷體" w:eastAsia="標楷體" w:hAnsi="標楷體"/>
                <w:szCs w:val="24"/>
              </w:rPr>
            </w:pPr>
            <w:r>
              <w:rPr>
                <w:rFonts w:ascii="標楷體" w:eastAsia="標楷體" w:hAnsi="標楷體"/>
                <w:szCs w:val="24"/>
              </w:rPr>
              <w:t>路線設施：指捷運系統之路基、軌道、橋涵、隧道、車站、機廠、建造物及其相關設施。</w:t>
            </w:r>
          </w:p>
          <w:p w:rsidR="00C9589A" w:rsidRDefault="004038BB">
            <w:pPr>
              <w:pStyle w:val="a5"/>
              <w:numPr>
                <w:ilvl w:val="0"/>
                <w:numId w:val="23"/>
              </w:numPr>
              <w:jc w:val="both"/>
              <w:rPr>
                <w:rFonts w:ascii="標楷體" w:eastAsia="標楷體" w:hAnsi="標楷體"/>
                <w:szCs w:val="24"/>
              </w:rPr>
            </w:pPr>
            <w:r>
              <w:rPr>
                <w:rFonts w:ascii="標楷體" w:eastAsia="標楷體" w:hAnsi="標楷體"/>
                <w:szCs w:val="24"/>
              </w:rPr>
              <w:t>機電設備：指捷運系統之消防、水電、供電、號誌、通訊、自動收費、環境控制、月台門、電梯、電扶梯及其相關設備。</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pPr>
            <w:r>
              <w:rPr>
                <w:rFonts w:ascii="標楷體" w:eastAsia="標楷體" w:hAnsi="標楷體"/>
                <w:bCs/>
                <w:szCs w:val="24"/>
              </w:rPr>
              <w:t>明定路線設施、機電設備之種類型式。</w:t>
            </w:r>
          </w:p>
          <w:p w:rsidR="00C9589A" w:rsidRDefault="00C9589A">
            <w:pPr>
              <w:jc w:val="both"/>
              <w:rPr>
                <w:rFonts w:ascii="標楷體" w:eastAsia="標楷體" w:hAnsi="標楷體"/>
                <w:szCs w:val="24"/>
              </w:rPr>
            </w:pP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pPr>
            <w:r>
              <w:rPr>
                <w:rFonts w:ascii="標楷體" w:eastAsia="標楷體" w:hAnsi="標楷體"/>
                <w:szCs w:val="24"/>
              </w:rPr>
              <w:t>第四條</w:t>
            </w:r>
            <w:r>
              <w:rPr>
                <w:rFonts w:ascii="標楷體" w:eastAsia="標楷體" w:hAnsi="標楷體"/>
                <w:szCs w:val="24"/>
              </w:rPr>
              <w:t xml:space="preserve">  </w:t>
            </w:r>
            <w:r>
              <w:rPr>
                <w:rFonts w:ascii="標楷體" w:eastAsia="標楷體" w:hAnsi="標楷體"/>
                <w:szCs w:val="24"/>
              </w:rPr>
              <w:t>路線設施及機電設備之新設、改建或維修完成者，應經營運機構檢查並確認功能正常，始得使用。</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pPr>
            <w:r>
              <w:rPr>
                <w:rFonts w:ascii="標楷體" w:eastAsia="標楷體" w:hAnsi="標楷體"/>
                <w:bCs/>
                <w:szCs w:val="24"/>
              </w:rPr>
              <w:t>規範營運機構對於新設、改建路線設施</w:t>
            </w:r>
            <w:r>
              <w:rPr>
                <w:rFonts w:ascii="標楷體" w:eastAsia="標楷體" w:hAnsi="標楷體"/>
                <w:szCs w:val="24"/>
              </w:rPr>
              <w:t>及機電設備</w:t>
            </w:r>
            <w:r>
              <w:rPr>
                <w:rFonts w:ascii="標楷體" w:eastAsia="標楷體" w:hAnsi="標楷體"/>
                <w:bCs/>
                <w:szCs w:val="24"/>
              </w:rPr>
              <w:t>之使用限制。</w:t>
            </w:r>
          </w:p>
          <w:p w:rsidR="00C9589A" w:rsidRDefault="00C9589A">
            <w:pPr>
              <w:jc w:val="both"/>
              <w:rPr>
                <w:rFonts w:ascii="標楷體" w:eastAsia="標楷體" w:hAnsi="標楷體"/>
                <w:szCs w:val="24"/>
              </w:rPr>
            </w:pP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rPr>
                <w:rFonts w:ascii="標楷體" w:eastAsia="標楷體" w:hAnsi="標楷體"/>
                <w:szCs w:val="24"/>
              </w:rPr>
            </w:pPr>
            <w:r>
              <w:rPr>
                <w:rFonts w:ascii="標楷體" w:eastAsia="標楷體" w:hAnsi="標楷體"/>
                <w:szCs w:val="24"/>
              </w:rPr>
              <w:t>第五條</w:t>
            </w:r>
            <w:r>
              <w:rPr>
                <w:rFonts w:ascii="標楷體" w:eastAsia="標楷體" w:hAnsi="標楷體"/>
                <w:szCs w:val="24"/>
              </w:rPr>
              <w:t xml:space="preserve">  </w:t>
            </w:r>
            <w:r>
              <w:rPr>
                <w:rFonts w:ascii="標楷體" w:eastAsia="標楷體" w:hAnsi="標楷體"/>
                <w:szCs w:val="24"/>
              </w:rPr>
              <w:t>營運機構應就路線設施及機電設備實施定期及不定期檢查，如發現異狀，應即時維修或採取防止事故之緊急措施。</w:t>
            </w:r>
          </w:p>
          <w:p w:rsidR="00C9589A" w:rsidRDefault="004038BB">
            <w:pPr>
              <w:ind w:left="240" w:firstLine="480"/>
              <w:jc w:val="both"/>
            </w:pPr>
            <w:r>
              <w:rPr>
                <w:rFonts w:ascii="標楷體" w:eastAsia="標楷體" w:hAnsi="標楷體"/>
                <w:szCs w:val="24"/>
              </w:rPr>
              <w:t>前項路線設施及機電設備養護檢查情形，營運機構應記錄存查並妥善保存，以供本府查核。</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bCs/>
                <w:szCs w:val="24"/>
              </w:rPr>
            </w:pPr>
            <w:r>
              <w:rPr>
                <w:rFonts w:ascii="標楷體" w:eastAsia="標楷體" w:hAnsi="標楷體"/>
                <w:bCs/>
                <w:szCs w:val="24"/>
              </w:rPr>
              <w:t>規範路線設施及機電設備之檢修型式，營運機構應將其檢修紀錄存查。</w:t>
            </w:r>
          </w:p>
          <w:p w:rsidR="00C9589A" w:rsidRDefault="00C9589A">
            <w:pPr>
              <w:jc w:val="both"/>
              <w:rPr>
                <w:rFonts w:ascii="標楷體" w:eastAsia="標楷體" w:hAnsi="標楷體"/>
                <w:szCs w:val="24"/>
              </w:rPr>
            </w:pP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rPr>
                <w:rFonts w:ascii="標楷體" w:eastAsia="標楷體" w:hAnsi="標楷體"/>
                <w:szCs w:val="24"/>
              </w:rPr>
            </w:pPr>
            <w:r>
              <w:rPr>
                <w:rFonts w:ascii="標楷體" w:eastAsia="標楷體" w:hAnsi="標楷體"/>
                <w:szCs w:val="24"/>
              </w:rPr>
              <w:t>第六條</w:t>
            </w:r>
            <w:r>
              <w:rPr>
                <w:rFonts w:ascii="標楷體" w:eastAsia="標楷體" w:hAnsi="標楷體"/>
                <w:szCs w:val="24"/>
              </w:rPr>
              <w:t xml:space="preserve">  </w:t>
            </w:r>
            <w:r>
              <w:rPr>
                <w:rFonts w:ascii="標楷體" w:eastAsia="標楷體" w:hAnsi="標楷體"/>
                <w:szCs w:val="24"/>
              </w:rPr>
              <w:t>營運機構就路線設施每年至少應辦理總檢查一次。</w:t>
            </w:r>
          </w:p>
          <w:p w:rsidR="00C9589A" w:rsidRDefault="004038BB">
            <w:pPr>
              <w:ind w:left="240" w:firstLine="480"/>
              <w:jc w:val="both"/>
            </w:pPr>
            <w:r>
              <w:rPr>
                <w:rFonts w:ascii="標楷體" w:eastAsia="標楷體" w:hAnsi="標楷體"/>
                <w:szCs w:val="24"/>
              </w:rPr>
              <w:t>前項總檢查，應包括路線設施養護狀況、現時狀況及用料使用情形。</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bCs/>
                <w:szCs w:val="24"/>
              </w:rPr>
            </w:pPr>
            <w:r>
              <w:rPr>
                <w:rFonts w:ascii="標楷體" w:eastAsia="標楷體" w:hAnsi="標楷體"/>
                <w:bCs/>
                <w:szCs w:val="24"/>
              </w:rPr>
              <w:t>規範營運機構每年應執行總檢查一次，以確保路線設施養護品質。</w:t>
            </w:r>
          </w:p>
          <w:p w:rsidR="00C9589A" w:rsidRDefault="00C9589A">
            <w:pPr>
              <w:jc w:val="both"/>
              <w:rPr>
                <w:rFonts w:ascii="標楷體" w:eastAsia="標楷體" w:hAnsi="標楷體"/>
                <w:szCs w:val="24"/>
              </w:rPr>
            </w:pPr>
          </w:p>
        </w:tc>
      </w:tr>
      <w:tr w:rsidR="00C9589A">
        <w:tblPrEx>
          <w:tblCellMar>
            <w:top w:w="0" w:type="dxa"/>
            <w:bottom w:w="0" w:type="dxa"/>
          </w:tblCellMar>
        </w:tblPrEx>
        <w:tc>
          <w:tcPr>
            <w:tcW w:w="446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C9589A" w:rsidRDefault="004038BB">
            <w:pPr>
              <w:ind w:left="238" w:hanging="264"/>
              <w:jc w:val="both"/>
              <w:rPr>
                <w:rFonts w:ascii="標楷體" w:eastAsia="標楷體" w:hAnsi="標楷體"/>
                <w:szCs w:val="24"/>
              </w:rPr>
            </w:pPr>
            <w:r>
              <w:rPr>
                <w:rFonts w:ascii="標楷體" w:eastAsia="標楷體" w:hAnsi="標楷體"/>
                <w:szCs w:val="24"/>
              </w:rPr>
              <w:t>第七條</w:t>
            </w:r>
            <w:r>
              <w:rPr>
                <w:rFonts w:ascii="標楷體" w:eastAsia="標楷體" w:hAnsi="標楷體"/>
                <w:szCs w:val="24"/>
              </w:rPr>
              <w:t xml:space="preserve">  </w:t>
            </w:r>
            <w:r>
              <w:rPr>
                <w:rFonts w:ascii="標楷體" w:eastAsia="標楷體" w:hAnsi="標楷體"/>
                <w:szCs w:val="24"/>
              </w:rPr>
              <w:t>路線設施有下列情事之一者，營運機構應採取安全措施並實施臨時檢修：</w:t>
            </w:r>
          </w:p>
          <w:p w:rsidR="00C9589A" w:rsidRDefault="004038BB">
            <w:pPr>
              <w:pStyle w:val="a5"/>
              <w:numPr>
                <w:ilvl w:val="0"/>
                <w:numId w:val="24"/>
              </w:numPr>
              <w:ind w:left="720"/>
              <w:jc w:val="both"/>
              <w:rPr>
                <w:rFonts w:ascii="標楷體" w:eastAsia="標楷體" w:hAnsi="標楷體"/>
                <w:szCs w:val="24"/>
              </w:rPr>
            </w:pPr>
            <w:r>
              <w:rPr>
                <w:rFonts w:ascii="標楷體" w:eastAsia="標楷體" w:hAnsi="標楷體"/>
                <w:szCs w:val="24"/>
              </w:rPr>
              <w:t>發生事故。</w:t>
            </w:r>
          </w:p>
          <w:p w:rsidR="00C9589A" w:rsidRDefault="004038BB">
            <w:pPr>
              <w:pStyle w:val="a5"/>
              <w:numPr>
                <w:ilvl w:val="0"/>
                <w:numId w:val="24"/>
              </w:numPr>
              <w:ind w:left="720"/>
              <w:jc w:val="both"/>
              <w:rPr>
                <w:rFonts w:ascii="標楷體" w:eastAsia="標楷體" w:hAnsi="標楷體"/>
                <w:szCs w:val="24"/>
              </w:rPr>
            </w:pPr>
            <w:r>
              <w:rPr>
                <w:rFonts w:ascii="標楷體" w:eastAsia="標楷體" w:hAnsi="標楷體"/>
                <w:szCs w:val="24"/>
              </w:rPr>
              <w:t>發生故障或有故障之虞。</w:t>
            </w:r>
          </w:p>
          <w:p w:rsidR="00C9589A" w:rsidRDefault="004038BB">
            <w:pPr>
              <w:pStyle w:val="a5"/>
              <w:numPr>
                <w:ilvl w:val="0"/>
                <w:numId w:val="24"/>
              </w:numPr>
              <w:ind w:left="720"/>
              <w:jc w:val="both"/>
              <w:rPr>
                <w:rFonts w:ascii="標楷體" w:eastAsia="標楷體" w:hAnsi="標楷體"/>
                <w:szCs w:val="24"/>
              </w:rPr>
            </w:pPr>
            <w:r>
              <w:rPr>
                <w:rFonts w:ascii="標楷體" w:eastAsia="標楷體" w:hAnsi="標楷體"/>
                <w:szCs w:val="24"/>
              </w:rPr>
              <w:t>停用一定期間準備恢復使用。</w:t>
            </w:r>
          </w:p>
          <w:p w:rsidR="00C9589A" w:rsidRDefault="004038BB">
            <w:pPr>
              <w:pStyle w:val="a5"/>
              <w:numPr>
                <w:ilvl w:val="0"/>
                <w:numId w:val="24"/>
              </w:numPr>
              <w:ind w:left="720"/>
              <w:jc w:val="both"/>
              <w:rPr>
                <w:rFonts w:ascii="標楷體" w:eastAsia="標楷體" w:hAnsi="標楷體"/>
                <w:szCs w:val="24"/>
              </w:rPr>
            </w:pPr>
            <w:r>
              <w:rPr>
                <w:rFonts w:ascii="標楷體" w:eastAsia="標楷體" w:hAnsi="標楷體"/>
                <w:szCs w:val="24"/>
              </w:rPr>
              <w:t>其他認為有檢修之必要。</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szCs w:val="24"/>
              </w:rPr>
            </w:pPr>
            <w:r>
              <w:rPr>
                <w:rFonts w:ascii="標楷體" w:eastAsia="標楷體" w:hAnsi="標楷體"/>
                <w:szCs w:val="24"/>
              </w:rPr>
              <w:t>規範營運機構應就路線設施執行臨時檢修時機。</w:t>
            </w:r>
          </w:p>
          <w:p w:rsidR="00C9589A" w:rsidRDefault="00C9589A">
            <w:pPr>
              <w:ind w:left="648" w:hanging="648"/>
              <w:jc w:val="both"/>
              <w:rPr>
                <w:rFonts w:ascii="標楷體" w:eastAsia="標楷體" w:hAnsi="標楷體"/>
                <w:szCs w:val="24"/>
              </w:rPr>
            </w:pPr>
          </w:p>
        </w:tc>
      </w:tr>
      <w:tr w:rsidR="00C9589A">
        <w:tblPrEx>
          <w:tblCellMar>
            <w:top w:w="0" w:type="dxa"/>
            <w:bottom w:w="0" w:type="dxa"/>
          </w:tblCellMar>
        </w:tblPrEx>
        <w:tc>
          <w:tcPr>
            <w:tcW w:w="4467"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pPr>
            <w:r>
              <w:rPr>
                <w:rFonts w:ascii="標楷體" w:eastAsia="標楷體" w:hAnsi="標楷體"/>
                <w:szCs w:val="24"/>
              </w:rPr>
              <w:t>第八條</w:t>
            </w:r>
            <w:r>
              <w:rPr>
                <w:rFonts w:ascii="標楷體" w:eastAsia="標楷體" w:hAnsi="標楷體"/>
                <w:szCs w:val="24"/>
              </w:rPr>
              <w:t xml:space="preserve">  </w:t>
            </w:r>
            <w:r>
              <w:rPr>
                <w:rFonts w:ascii="標楷體" w:eastAsia="標楷體" w:hAnsi="標楷體"/>
                <w:szCs w:val="24"/>
              </w:rPr>
              <w:t>路基、軌道設備，如因性能劣化、磨損已達</w:t>
            </w:r>
            <w:r>
              <w:rPr>
                <w:rFonts w:ascii="標楷體" w:eastAsia="標楷體" w:hAnsi="標楷體" w:cs="標楷體"/>
                <w:bCs/>
                <w:szCs w:val="24"/>
              </w:rPr>
              <w:t>營運機構</w:t>
            </w:r>
            <w:r>
              <w:rPr>
                <w:rFonts w:ascii="標楷體" w:eastAsia="標楷體" w:hAnsi="標楷體"/>
                <w:szCs w:val="24"/>
              </w:rPr>
              <w:t>規定之限度或因故損傷破裂有危險之虞時，營運機構應即抽換或更新。</w:t>
            </w:r>
            <w:r>
              <w:rPr>
                <w:rFonts w:ascii="標楷體" w:hAnsi="標楷體"/>
                <w:szCs w:val="24"/>
              </w:rPr>
              <w:tab/>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pPr>
            <w:r>
              <w:rPr>
                <w:rFonts w:ascii="標楷體" w:eastAsia="標楷體" w:hAnsi="標楷體"/>
                <w:bCs/>
                <w:szCs w:val="24"/>
              </w:rPr>
              <w:t>規範營運機構應確保路線設施品質與安全，於</w:t>
            </w:r>
            <w:r>
              <w:rPr>
                <w:rFonts w:ascii="標楷體" w:eastAsia="標楷體" w:hAnsi="標楷體"/>
                <w:szCs w:val="24"/>
              </w:rPr>
              <w:t>路基、軌道設備，如因性能劣化、磨損已達規定限度或有危險之虞時，可能影響營運安全，營運機構應即抽換或更</w:t>
            </w:r>
            <w:r>
              <w:rPr>
                <w:rFonts w:ascii="標楷體" w:eastAsia="標楷體" w:hAnsi="標楷體"/>
                <w:szCs w:val="24"/>
              </w:rPr>
              <w:lastRenderedPageBreak/>
              <w:t>新</w:t>
            </w:r>
            <w:r>
              <w:rPr>
                <w:rFonts w:ascii="標楷體" w:eastAsia="標楷體" w:hAnsi="標楷體"/>
                <w:bCs/>
                <w:szCs w:val="24"/>
              </w:rPr>
              <w:t>。</w:t>
            </w: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pPr>
            <w:r>
              <w:rPr>
                <w:rFonts w:ascii="標楷體" w:eastAsia="標楷體" w:hAnsi="標楷體"/>
                <w:szCs w:val="24"/>
              </w:rPr>
              <w:lastRenderedPageBreak/>
              <w:t>第九條</w:t>
            </w:r>
            <w:r>
              <w:rPr>
                <w:rFonts w:ascii="標楷體" w:eastAsia="標楷體" w:hAnsi="標楷體"/>
                <w:szCs w:val="24"/>
              </w:rPr>
              <w:t xml:space="preserve">  </w:t>
            </w:r>
            <w:r>
              <w:rPr>
                <w:rFonts w:ascii="標楷體" w:eastAsia="標楷體" w:hAnsi="標楷體"/>
                <w:szCs w:val="24"/>
              </w:rPr>
              <w:t>橋臺、橋墩或隧道如有下沉移動情形，營運機構應查明原因並加固改善。</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szCs w:val="24"/>
              </w:rPr>
            </w:pPr>
            <w:r>
              <w:rPr>
                <w:rFonts w:ascii="標楷體" w:eastAsia="標楷體" w:hAnsi="標楷體"/>
                <w:szCs w:val="24"/>
              </w:rPr>
              <w:t>規範橋梁隧道等如有異常，營運機構應查明原因並改善。</w:t>
            </w: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pPr>
            <w:r>
              <w:rPr>
                <w:rFonts w:ascii="標楷體" w:eastAsia="標楷體" w:hAnsi="標楷體"/>
                <w:szCs w:val="24"/>
              </w:rPr>
              <w:t>第十條</w:t>
            </w:r>
            <w:r>
              <w:rPr>
                <w:rFonts w:ascii="標楷體" w:eastAsia="標楷體" w:hAnsi="標楷體"/>
                <w:szCs w:val="24"/>
              </w:rPr>
              <w:t xml:space="preserve">  </w:t>
            </w:r>
            <w:r>
              <w:rPr>
                <w:rFonts w:ascii="標楷體" w:eastAsia="標楷體" w:hAnsi="標楷體"/>
                <w:szCs w:val="24"/>
              </w:rPr>
              <w:t>橋涵之流水狀況、防護設施及上下游河道，營運機構均應注意檢查、修補、疏濬或洽請有關機關辦理。</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szCs w:val="24"/>
              </w:rPr>
            </w:pPr>
            <w:r>
              <w:rPr>
                <w:rFonts w:ascii="標楷體" w:eastAsia="標楷體" w:hAnsi="標楷體"/>
                <w:szCs w:val="24"/>
              </w:rPr>
              <w:t>規範營運機構應注意橋梁等週邊狀況並予以改善，涉及其他機關業務者，應立即洽請辦理。</w:t>
            </w: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pPr>
            <w:r>
              <w:rPr>
                <w:rFonts w:ascii="標楷體" w:eastAsia="標楷體" w:hAnsi="標楷體"/>
                <w:szCs w:val="24"/>
              </w:rPr>
              <w:t>第十一條</w:t>
            </w:r>
            <w:r>
              <w:rPr>
                <w:rFonts w:ascii="標楷體" w:eastAsia="標楷體" w:hAnsi="標楷體"/>
                <w:szCs w:val="24"/>
              </w:rPr>
              <w:t xml:space="preserve">  </w:t>
            </w:r>
            <w:r>
              <w:rPr>
                <w:rFonts w:ascii="標楷體" w:eastAsia="標楷體" w:hAnsi="標楷體"/>
                <w:szCs w:val="24"/>
              </w:rPr>
              <w:t>橋梁跨越之河流，遇有洪水及漲水有超過警戒水位之虞者，營運機構應派員檢查記錄其水位，並勘查橋臺、橋墩附近河床狀態，繪圖記錄。</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szCs w:val="24"/>
              </w:rPr>
            </w:pPr>
            <w:r>
              <w:rPr>
                <w:rFonts w:ascii="標楷體" w:eastAsia="標楷體" w:hAnsi="標楷體"/>
                <w:szCs w:val="24"/>
              </w:rPr>
              <w:t>規範橋梁跨越之河流有異常情形時，營運機構應派員監控並記錄。</w:t>
            </w:r>
          </w:p>
          <w:p w:rsidR="00C9589A" w:rsidRDefault="00C9589A">
            <w:pPr>
              <w:ind w:left="209" w:hanging="209"/>
              <w:jc w:val="both"/>
              <w:rPr>
                <w:rFonts w:ascii="標楷體" w:eastAsia="標楷體" w:hAnsi="標楷體"/>
                <w:szCs w:val="24"/>
              </w:rPr>
            </w:pP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pPr>
            <w:r>
              <w:rPr>
                <w:rFonts w:ascii="標楷體" w:eastAsia="標楷體" w:hAnsi="標楷體"/>
                <w:szCs w:val="24"/>
              </w:rPr>
              <w:t>第十二條</w:t>
            </w:r>
            <w:r>
              <w:rPr>
                <w:rFonts w:ascii="標楷體" w:eastAsia="標楷體" w:hAnsi="標楷體"/>
                <w:szCs w:val="24"/>
              </w:rPr>
              <w:t xml:space="preserve">  </w:t>
            </w:r>
            <w:r>
              <w:rPr>
                <w:rFonts w:ascii="標楷體" w:eastAsia="標楷體" w:hAnsi="標楷體"/>
                <w:szCs w:val="24"/>
              </w:rPr>
              <w:t>橋涵、隧道及車站之排水設備營運機構應定期及不定期檢修、保持排水通暢。</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szCs w:val="24"/>
              </w:rPr>
            </w:pPr>
            <w:r>
              <w:rPr>
                <w:rFonts w:ascii="標楷體" w:eastAsia="標楷體" w:hAnsi="標楷體"/>
                <w:szCs w:val="24"/>
              </w:rPr>
              <w:t>規範捷運場站的排水設施，營運機構應保持暢通。</w:t>
            </w:r>
          </w:p>
          <w:p w:rsidR="00C9589A" w:rsidRDefault="00C9589A">
            <w:pPr>
              <w:ind w:left="209" w:hanging="209"/>
              <w:jc w:val="both"/>
              <w:rPr>
                <w:rFonts w:ascii="標楷體" w:eastAsia="標楷體" w:hAnsi="標楷體"/>
                <w:szCs w:val="24"/>
              </w:rPr>
            </w:pP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tabs>
                <w:tab w:val="left" w:pos="970"/>
                <w:tab w:val="left" w:pos="1282"/>
              </w:tabs>
              <w:ind w:left="238" w:hanging="264"/>
              <w:jc w:val="both"/>
            </w:pPr>
            <w:r>
              <w:rPr>
                <w:rFonts w:ascii="標楷體" w:eastAsia="標楷體" w:hAnsi="標楷體"/>
                <w:szCs w:val="24"/>
              </w:rPr>
              <w:t>第十三條</w:t>
            </w:r>
            <w:r>
              <w:rPr>
                <w:rFonts w:ascii="標楷體" w:eastAsia="標楷體" w:hAnsi="標楷體"/>
                <w:szCs w:val="24"/>
              </w:rPr>
              <w:t xml:space="preserve">  </w:t>
            </w:r>
            <w:r>
              <w:rPr>
                <w:rFonts w:ascii="標楷體" w:eastAsia="標楷體" w:hAnsi="標楷體"/>
                <w:szCs w:val="24"/>
              </w:rPr>
              <w:t>消防安全設備之檢修項目，營運機構應實施定期及不定期檢修，並做成紀錄，如因性能劣化或因故毀損者，應予換新。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pPr>
            <w:r>
              <w:rPr>
                <w:rFonts w:ascii="標楷體" w:eastAsia="標楷體" w:hAnsi="標楷體"/>
                <w:bCs/>
                <w:szCs w:val="24"/>
              </w:rPr>
              <w:t>規範消防設施及其他附屬設備之檢修型式，</w:t>
            </w:r>
            <w:r>
              <w:rPr>
                <w:rFonts w:ascii="標楷體" w:eastAsia="標楷體" w:hAnsi="標楷體"/>
                <w:szCs w:val="24"/>
              </w:rPr>
              <w:t>營運機構</w:t>
            </w:r>
            <w:r>
              <w:rPr>
                <w:rFonts w:ascii="標楷體" w:eastAsia="標楷體" w:hAnsi="標楷體"/>
                <w:bCs/>
                <w:szCs w:val="24"/>
              </w:rPr>
              <w:t>並應將其檢修紀錄存查。</w:t>
            </w:r>
          </w:p>
          <w:p w:rsidR="00C9589A" w:rsidRDefault="00C9589A">
            <w:pPr>
              <w:ind w:left="209" w:hanging="209"/>
              <w:jc w:val="both"/>
              <w:rPr>
                <w:rFonts w:ascii="標楷體" w:eastAsia="標楷體" w:hAnsi="標楷體"/>
                <w:szCs w:val="24"/>
              </w:rPr>
            </w:pP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rPr>
                <w:rFonts w:ascii="標楷體" w:eastAsia="標楷體" w:hAnsi="標楷體"/>
                <w:szCs w:val="24"/>
              </w:rPr>
            </w:pPr>
            <w:r>
              <w:rPr>
                <w:rFonts w:ascii="標楷體" w:eastAsia="標楷體" w:hAnsi="標楷體"/>
                <w:szCs w:val="24"/>
              </w:rPr>
              <w:t>第十四條</w:t>
            </w:r>
            <w:r>
              <w:rPr>
                <w:rFonts w:ascii="標楷體" w:eastAsia="標楷體" w:hAnsi="標楷體"/>
                <w:szCs w:val="24"/>
              </w:rPr>
              <w:t xml:space="preserve">  </w:t>
            </w:r>
            <w:r>
              <w:rPr>
                <w:rFonts w:ascii="標楷體" w:eastAsia="標楷體" w:hAnsi="標楷體"/>
                <w:szCs w:val="24"/>
              </w:rPr>
              <w:t>機電設備有下列情事之一者，營運機構應採取安全措施並實施臨時檢修：</w:t>
            </w:r>
          </w:p>
          <w:p w:rsidR="00C9589A" w:rsidRDefault="004038BB">
            <w:pPr>
              <w:pStyle w:val="a5"/>
              <w:numPr>
                <w:ilvl w:val="0"/>
                <w:numId w:val="25"/>
              </w:numPr>
              <w:ind w:left="722" w:hanging="482"/>
              <w:jc w:val="both"/>
              <w:rPr>
                <w:rFonts w:ascii="標楷體" w:eastAsia="標楷體" w:hAnsi="標楷體"/>
                <w:szCs w:val="24"/>
              </w:rPr>
            </w:pPr>
            <w:r>
              <w:rPr>
                <w:rFonts w:ascii="標楷體" w:eastAsia="標楷體" w:hAnsi="標楷體"/>
                <w:szCs w:val="24"/>
              </w:rPr>
              <w:t>發生事故。</w:t>
            </w:r>
          </w:p>
          <w:p w:rsidR="00C9589A" w:rsidRDefault="004038BB">
            <w:pPr>
              <w:pStyle w:val="a5"/>
              <w:numPr>
                <w:ilvl w:val="0"/>
                <w:numId w:val="25"/>
              </w:numPr>
              <w:ind w:left="722" w:hanging="482"/>
              <w:jc w:val="both"/>
              <w:rPr>
                <w:rFonts w:ascii="標楷體" w:eastAsia="標楷體" w:hAnsi="標楷體"/>
                <w:szCs w:val="24"/>
              </w:rPr>
            </w:pPr>
            <w:r>
              <w:rPr>
                <w:rFonts w:ascii="標楷體" w:eastAsia="標楷體" w:hAnsi="標楷體"/>
                <w:szCs w:val="24"/>
              </w:rPr>
              <w:t>發生故障或有故障之虞。</w:t>
            </w:r>
          </w:p>
          <w:p w:rsidR="00C9589A" w:rsidRDefault="004038BB">
            <w:pPr>
              <w:pStyle w:val="a5"/>
              <w:numPr>
                <w:ilvl w:val="0"/>
                <w:numId w:val="25"/>
              </w:numPr>
              <w:ind w:left="722" w:hanging="482"/>
              <w:jc w:val="both"/>
              <w:rPr>
                <w:rFonts w:ascii="標楷體" w:eastAsia="標楷體" w:hAnsi="標楷體"/>
                <w:szCs w:val="24"/>
              </w:rPr>
            </w:pPr>
            <w:r>
              <w:rPr>
                <w:rFonts w:ascii="標楷體" w:eastAsia="標楷體" w:hAnsi="標楷體"/>
                <w:szCs w:val="24"/>
              </w:rPr>
              <w:t>停用一定期間準備恢復使用。</w:t>
            </w:r>
          </w:p>
          <w:p w:rsidR="00C9589A" w:rsidRDefault="004038BB">
            <w:pPr>
              <w:pStyle w:val="a5"/>
              <w:numPr>
                <w:ilvl w:val="0"/>
                <w:numId w:val="25"/>
              </w:numPr>
              <w:ind w:left="722" w:hanging="482"/>
              <w:jc w:val="both"/>
            </w:pPr>
            <w:r>
              <w:rPr>
                <w:rFonts w:ascii="標楷體" w:eastAsia="標楷體" w:hAnsi="標楷體"/>
                <w:szCs w:val="24"/>
              </w:rPr>
              <w:t>其他認為有檢修之必要。</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szCs w:val="24"/>
              </w:rPr>
            </w:pPr>
            <w:r>
              <w:rPr>
                <w:rFonts w:ascii="標楷體" w:eastAsia="標楷體" w:hAnsi="標楷體"/>
                <w:szCs w:val="24"/>
              </w:rPr>
              <w:t>規範營運機構應就機電設備執行臨時檢修時機；所稱其他認為有檢修之必要，係指例如颱風、地震等事件發生時。</w:t>
            </w: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pPr>
            <w:r>
              <w:rPr>
                <w:rFonts w:ascii="標楷體" w:eastAsia="標楷體" w:hAnsi="標楷體"/>
                <w:szCs w:val="24"/>
              </w:rPr>
              <w:t>第十五條</w:t>
            </w:r>
            <w:r>
              <w:rPr>
                <w:rFonts w:ascii="標楷體" w:eastAsia="標楷體" w:hAnsi="標楷體"/>
                <w:szCs w:val="24"/>
              </w:rPr>
              <w:t xml:space="preserve">  </w:t>
            </w:r>
            <w:r>
              <w:rPr>
                <w:rFonts w:ascii="標楷體" w:eastAsia="標楷體" w:hAnsi="標楷體"/>
                <w:szCs w:val="24"/>
              </w:rPr>
              <w:t>機電設備，如因性能劣化或因故毀損者，營運機構應予換新。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pPr>
            <w:r>
              <w:rPr>
                <w:rFonts w:ascii="標楷體" w:eastAsia="標楷體" w:hAnsi="標楷體"/>
                <w:bCs/>
                <w:szCs w:val="24"/>
              </w:rPr>
              <w:t>規範營運機構應確保機電設備之品質與安全，並執行相關檢修規定。</w:t>
            </w: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pPr>
            <w:r>
              <w:rPr>
                <w:rFonts w:ascii="標楷體" w:eastAsia="標楷體" w:hAnsi="標楷體"/>
                <w:szCs w:val="24"/>
              </w:rPr>
              <w:t>第十六條</w:t>
            </w:r>
            <w:r>
              <w:rPr>
                <w:rFonts w:ascii="標楷體" w:eastAsia="標楷體" w:hAnsi="標楷體"/>
                <w:szCs w:val="24"/>
              </w:rPr>
              <w:t xml:space="preserve">  </w:t>
            </w:r>
            <w:r>
              <w:rPr>
                <w:rFonts w:ascii="標楷體" w:eastAsia="標楷體" w:hAnsi="標楷體"/>
                <w:szCs w:val="24"/>
              </w:rPr>
              <w:t>營運機構為維護路線設施及機電設備檢修品質與安全，應訂定檢修規定，報請本府核定後實施。</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rPr>
                <w:rFonts w:ascii="標楷體" w:eastAsia="標楷體" w:hAnsi="標楷體" w:cs="標楷體"/>
                <w:bCs/>
                <w:szCs w:val="24"/>
              </w:rPr>
            </w:pPr>
            <w:r>
              <w:rPr>
                <w:rFonts w:ascii="標楷體" w:eastAsia="標楷體" w:hAnsi="標楷體" w:cs="標楷體"/>
                <w:bCs/>
                <w:szCs w:val="24"/>
              </w:rPr>
              <w:t>規範營運機構應就路線設施及機電設備訂定檢修規定。</w:t>
            </w:r>
          </w:p>
          <w:p w:rsidR="00C9589A" w:rsidRDefault="00C9589A">
            <w:pPr>
              <w:jc w:val="both"/>
              <w:rPr>
                <w:rFonts w:ascii="標楷體" w:eastAsia="標楷體" w:hAnsi="標楷體" w:cs="標楷體"/>
                <w:bCs/>
                <w:szCs w:val="24"/>
              </w:rPr>
            </w:pPr>
          </w:p>
        </w:tc>
      </w:tr>
      <w:tr w:rsidR="00C9589A">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ind w:left="238" w:hanging="264"/>
              <w:jc w:val="both"/>
            </w:pPr>
            <w:r>
              <w:rPr>
                <w:rFonts w:ascii="標楷體" w:eastAsia="標楷體" w:hAnsi="標楷體"/>
                <w:szCs w:val="24"/>
              </w:rPr>
              <w:t>第十七條</w:t>
            </w:r>
            <w:r>
              <w:rPr>
                <w:rFonts w:ascii="標楷體" w:eastAsia="標楷體" w:hAnsi="標楷體"/>
                <w:szCs w:val="24"/>
              </w:rPr>
              <w:t xml:space="preserve">  </w:t>
            </w:r>
            <w:r>
              <w:rPr>
                <w:rFonts w:ascii="標楷體" w:eastAsia="標楷體" w:hAnsi="標楷體"/>
                <w:szCs w:val="24"/>
              </w:rPr>
              <w:t>本規則自發布日施行。</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9589A" w:rsidRDefault="004038BB">
            <w:pPr>
              <w:jc w:val="both"/>
            </w:pPr>
            <w:r>
              <w:rPr>
                <w:rFonts w:ascii="標楷體" w:eastAsia="標楷體" w:hAnsi="標楷體"/>
                <w:bCs/>
                <w:szCs w:val="24"/>
              </w:rPr>
              <w:t>本規則之施行日期。</w:t>
            </w:r>
          </w:p>
        </w:tc>
      </w:tr>
    </w:tbl>
    <w:p w:rsidR="00C9589A" w:rsidRDefault="00C9589A">
      <w:bookmarkStart w:id="3" w:name="_Toc483378364"/>
      <w:bookmarkStart w:id="4" w:name="_Toc337476771"/>
      <w:bookmarkStart w:id="5" w:name="_Toc302474860"/>
      <w:bookmarkStart w:id="6" w:name="_Toc96932708"/>
      <w:bookmarkStart w:id="7" w:name="_Toc95283674"/>
      <w:bookmarkStart w:id="8" w:name="_Toc95190441"/>
      <w:bookmarkStart w:id="9" w:name="_Toc95190384"/>
    </w:p>
    <w:p w:rsidR="00C9589A" w:rsidRDefault="004038BB">
      <w:pPr>
        <w:pageBreakBefore/>
        <w:rPr>
          <w:rFonts w:ascii="標楷體" w:eastAsia="標楷體" w:hAnsi="標楷體"/>
          <w:sz w:val="40"/>
          <w:szCs w:val="40"/>
        </w:rPr>
      </w:pPr>
      <w:r>
        <w:rPr>
          <w:rFonts w:ascii="標楷體" w:eastAsia="標楷體" w:hAnsi="標楷體"/>
          <w:sz w:val="40"/>
          <w:szCs w:val="40"/>
        </w:rPr>
        <w:lastRenderedPageBreak/>
        <w:t>臺中市大眾捷運系統修建養護規則</w:t>
      </w:r>
    </w:p>
    <w:p w:rsidR="00C9589A" w:rsidRDefault="004038BB">
      <w:pPr>
        <w:snapToGrid w:val="0"/>
        <w:spacing w:line="460" w:lineRule="exact"/>
        <w:ind w:left="840" w:hanging="840"/>
        <w:jc w:val="both"/>
        <w:rPr>
          <w:rFonts w:ascii="標楷體" w:eastAsia="標楷體" w:hAnsi="標楷體" w:cs="新細明體"/>
          <w:kern w:val="0"/>
          <w:sz w:val="28"/>
          <w:szCs w:val="28"/>
        </w:rPr>
      </w:pPr>
      <w:bookmarkStart w:id="10" w:name="_Hlk484013781"/>
      <w:bookmarkStart w:id="11" w:name="_Hlk484013831"/>
      <w:bookmarkStart w:id="12" w:name="_Hlk484013897"/>
      <w:bookmarkStart w:id="13" w:name="_Hlk484013924"/>
      <w:r>
        <w:rPr>
          <w:rFonts w:ascii="標楷體" w:eastAsia="標楷體" w:hAnsi="標楷體" w:cs="新細明體"/>
          <w:kern w:val="0"/>
          <w:sz w:val="28"/>
          <w:szCs w:val="28"/>
        </w:rPr>
        <w:t>第一條</w:t>
      </w:r>
      <w:r>
        <w:rPr>
          <w:rFonts w:ascii="標楷體" w:eastAsia="標楷體" w:hAnsi="標楷體" w:cs="新細明體"/>
          <w:kern w:val="0"/>
          <w:sz w:val="28"/>
          <w:szCs w:val="28"/>
        </w:rPr>
        <w:t xml:space="preserve">    </w:t>
      </w:r>
      <w:r>
        <w:rPr>
          <w:rFonts w:ascii="標楷體" w:eastAsia="標楷體" w:hAnsi="標楷體" w:cs="新細明體"/>
          <w:kern w:val="0"/>
          <w:sz w:val="28"/>
          <w:szCs w:val="28"/>
        </w:rPr>
        <w:t>本規則依大眾捷運法第五十三條規定訂定之。</w:t>
      </w:r>
      <w:bookmarkEnd w:id="10"/>
    </w:p>
    <w:bookmarkEnd w:id="11"/>
    <w:p w:rsidR="00C9589A" w:rsidRDefault="004038BB">
      <w:pPr>
        <w:snapToGrid w:val="0"/>
        <w:spacing w:line="460" w:lineRule="exact"/>
        <w:ind w:left="840" w:hanging="840"/>
        <w:rPr>
          <w:rFonts w:ascii="標楷體" w:eastAsia="標楷體" w:hAnsi="標楷體" w:cs="新細明體"/>
          <w:kern w:val="0"/>
          <w:sz w:val="28"/>
          <w:szCs w:val="28"/>
        </w:rPr>
      </w:pPr>
      <w:r>
        <w:rPr>
          <w:rFonts w:ascii="標楷體" w:eastAsia="標楷體" w:hAnsi="標楷體" w:cs="新細明體"/>
          <w:kern w:val="0"/>
          <w:sz w:val="28"/>
          <w:szCs w:val="28"/>
        </w:rPr>
        <w:t>第二條</w:t>
      </w:r>
      <w:r>
        <w:rPr>
          <w:rFonts w:ascii="標楷體" w:eastAsia="標楷體" w:hAnsi="標楷體" w:cs="新細明體"/>
          <w:kern w:val="0"/>
          <w:sz w:val="28"/>
          <w:szCs w:val="28"/>
        </w:rPr>
        <w:t xml:space="preserve">    </w:t>
      </w:r>
      <w:bookmarkStart w:id="14" w:name="_Hlk484013728"/>
      <w:r>
        <w:rPr>
          <w:rFonts w:ascii="標楷體" w:eastAsia="標楷體" w:hAnsi="標楷體" w:cs="新細明體"/>
          <w:kern w:val="0"/>
          <w:sz w:val="28"/>
          <w:szCs w:val="28"/>
        </w:rPr>
        <w:t>本規則以臺中市政府（以下簡稱本府）主管之大眾捷運系統營運機構</w:t>
      </w:r>
      <w:r>
        <w:rPr>
          <w:rFonts w:ascii="標楷體" w:eastAsia="標楷體" w:hAnsi="標楷體" w:cs="新細明體"/>
          <w:kern w:val="0"/>
          <w:sz w:val="28"/>
          <w:szCs w:val="28"/>
        </w:rPr>
        <w:t>(</w:t>
      </w:r>
      <w:r>
        <w:rPr>
          <w:rFonts w:ascii="標楷體" w:eastAsia="標楷體" w:hAnsi="標楷體" w:cs="新細明體"/>
          <w:kern w:val="0"/>
          <w:sz w:val="28"/>
          <w:szCs w:val="28"/>
        </w:rPr>
        <w:t>以下簡稱營運機構</w:t>
      </w:r>
      <w:r>
        <w:rPr>
          <w:rFonts w:ascii="標楷體" w:eastAsia="標楷體" w:hAnsi="標楷體" w:cs="新細明體"/>
          <w:kern w:val="0"/>
          <w:sz w:val="28"/>
          <w:szCs w:val="28"/>
        </w:rPr>
        <w:t>)</w:t>
      </w:r>
      <w:r>
        <w:rPr>
          <w:rFonts w:ascii="標楷體" w:eastAsia="標楷體" w:hAnsi="標楷體" w:cs="新細明體"/>
          <w:kern w:val="0"/>
          <w:sz w:val="28"/>
          <w:szCs w:val="28"/>
        </w:rPr>
        <w:t>為適用範圍。</w:t>
      </w:r>
    </w:p>
    <w:p w:rsidR="00C9589A" w:rsidRDefault="004038BB">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第三條</w:t>
      </w:r>
      <w:r>
        <w:rPr>
          <w:rFonts w:ascii="標楷體" w:eastAsia="標楷體" w:hAnsi="標楷體" w:cs="新細明體"/>
          <w:kern w:val="0"/>
          <w:sz w:val="28"/>
          <w:szCs w:val="28"/>
        </w:rPr>
        <w:t xml:space="preserve">    </w:t>
      </w:r>
      <w:r>
        <w:rPr>
          <w:rFonts w:ascii="標楷體" w:eastAsia="標楷體" w:hAnsi="標楷體" w:cs="新細明體"/>
          <w:kern w:val="0"/>
          <w:sz w:val="28"/>
          <w:szCs w:val="28"/>
        </w:rPr>
        <w:t>本規則用詞，定義如下：</w:t>
      </w:r>
    </w:p>
    <w:p w:rsidR="00C9589A" w:rsidRDefault="004038BB">
      <w:pPr>
        <w:pStyle w:val="a5"/>
        <w:numPr>
          <w:ilvl w:val="0"/>
          <w:numId w:val="26"/>
        </w:numPr>
        <w:spacing w:line="460" w:lineRule="exact"/>
        <w:ind w:left="1952" w:hanging="560"/>
        <w:jc w:val="both"/>
        <w:rPr>
          <w:rFonts w:ascii="標楷體" w:eastAsia="標楷體" w:hAnsi="標楷體"/>
          <w:sz w:val="28"/>
          <w:szCs w:val="28"/>
        </w:rPr>
      </w:pPr>
      <w:r>
        <w:rPr>
          <w:rFonts w:ascii="標楷體" w:eastAsia="標楷體" w:hAnsi="標楷體"/>
          <w:sz w:val="28"/>
          <w:szCs w:val="28"/>
        </w:rPr>
        <w:t>路線設施：指捷運系統之路基、軌道、橋涵、隧道、車站、機廠、建造物及其相關設施。</w:t>
      </w:r>
    </w:p>
    <w:p w:rsidR="00C9589A" w:rsidRDefault="004038BB">
      <w:pPr>
        <w:pStyle w:val="a5"/>
        <w:numPr>
          <w:ilvl w:val="0"/>
          <w:numId w:val="26"/>
        </w:numPr>
        <w:spacing w:line="460" w:lineRule="exact"/>
        <w:ind w:left="1952" w:hanging="560"/>
        <w:jc w:val="both"/>
        <w:rPr>
          <w:rFonts w:ascii="標楷體" w:eastAsia="標楷體" w:hAnsi="標楷體"/>
          <w:sz w:val="28"/>
          <w:szCs w:val="28"/>
        </w:rPr>
      </w:pPr>
      <w:r>
        <w:rPr>
          <w:rFonts w:ascii="標楷體" w:eastAsia="標楷體" w:hAnsi="標楷體"/>
          <w:sz w:val="28"/>
          <w:szCs w:val="28"/>
        </w:rPr>
        <w:t>機電設備：指捷運系統之消防、水電、供電、號誌、通訊、自動收費、</w:t>
      </w:r>
      <w:bookmarkEnd w:id="14"/>
      <w:r>
        <w:rPr>
          <w:rFonts w:ascii="標楷體" w:eastAsia="標楷體" w:hAnsi="標楷體"/>
          <w:sz w:val="28"/>
          <w:szCs w:val="28"/>
        </w:rPr>
        <w:t>環境控制、月台門、電梯、電扶梯及其相關設備。</w:t>
      </w:r>
    </w:p>
    <w:p w:rsidR="00C9589A" w:rsidRDefault="004038BB">
      <w:pPr>
        <w:snapToGrid w:val="0"/>
        <w:spacing w:line="460" w:lineRule="exact"/>
        <w:ind w:left="840" w:hanging="840"/>
        <w:jc w:val="both"/>
      </w:pPr>
      <w:r>
        <w:rPr>
          <w:rFonts w:ascii="標楷體" w:eastAsia="標楷體" w:hAnsi="標楷體" w:cs="新細明體"/>
          <w:kern w:val="0"/>
          <w:sz w:val="28"/>
          <w:szCs w:val="28"/>
        </w:rPr>
        <w:t>第四條</w:t>
      </w:r>
      <w:r>
        <w:rPr>
          <w:rFonts w:ascii="標楷體" w:eastAsia="標楷體" w:hAnsi="標楷體" w:cs="新細明體"/>
          <w:kern w:val="0"/>
          <w:sz w:val="28"/>
          <w:szCs w:val="28"/>
        </w:rPr>
        <w:t xml:space="preserve">    </w:t>
      </w:r>
      <w:r>
        <w:rPr>
          <w:rFonts w:ascii="標楷體" w:eastAsia="標楷體" w:hAnsi="標楷體" w:cs="新細明體"/>
          <w:kern w:val="0"/>
          <w:sz w:val="28"/>
          <w:szCs w:val="28"/>
        </w:rPr>
        <w:t>路線設施及</w:t>
      </w:r>
      <w:r>
        <w:rPr>
          <w:rFonts w:ascii="標楷體" w:eastAsia="標楷體" w:hAnsi="標楷體"/>
          <w:sz w:val="28"/>
          <w:szCs w:val="28"/>
        </w:rPr>
        <w:t>機電設備</w:t>
      </w:r>
      <w:r>
        <w:rPr>
          <w:rFonts w:ascii="標楷體" w:eastAsia="標楷體" w:hAnsi="標楷體" w:cs="新細明體"/>
          <w:kern w:val="0"/>
          <w:sz w:val="28"/>
          <w:szCs w:val="28"/>
        </w:rPr>
        <w:t>之新設、改建或維修完成者，應經營運機構檢查並確認功能正常，始得使用。</w:t>
      </w:r>
    </w:p>
    <w:p w:rsidR="00C9589A" w:rsidRDefault="004038BB">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第五條</w:t>
      </w:r>
      <w:r>
        <w:rPr>
          <w:rFonts w:ascii="標楷體" w:eastAsia="標楷體" w:hAnsi="標楷體" w:cs="新細明體"/>
          <w:kern w:val="0"/>
          <w:sz w:val="28"/>
          <w:szCs w:val="28"/>
        </w:rPr>
        <w:t xml:space="preserve">    </w:t>
      </w:r>
      <w:r>
        <w:rPr>
          <w:rFonts w:ascii="標楷體" w:eastAsia="標楷體" w:hAnsi="標楷體" w:cs="新細明體"/>
          <w:kern w:val="0"/>
          <w:sz w:val="28"/>
          <w:szCs w:val="28"/>
        </w:rPr>
        <w:t>營運機構應就路線設施及機電設備實施定期及不定期檢查，如發現異狀，應即時維修或採取防止事故之緊急措施。</w:t>
      </w:r>
    </w:p>
    <w:p w:rsidR="00C9589A" w:rsidRDefault="004038BB">
      <w:pPr>
        <w:pStyle w:val="a3"/>
        <w:ind w:left="851" w:firstLine="0"/>
        <w:rPr>
          <w:rFonts w:ascii="標楷體" w:hAnsi="標楷體"/>
        </w:rPr>
      </w:pPr>
      <w:r>
        <w:rPr>
          <w:rFonts w:ascii="標楷體" w:hAnsi="標楷體"/>
        </w:rPr>
        <w:t xml:space="preserve">    </w:t>
      </w:r>
      <w:r>
        <w:rPr>
          <w:rFonts w:ascii="標楷體" w:hAnsi="標楷體"/>
        </w:rPr>
        <w:t>前項路線設施及機電設備養護檢查情形，營運機構應記錄並妥善保存，以供本府查核。</w:t>
      </w:r>
    </w:p>
    <w:p w:rsidR="00C9589A" w:rsidRDefault="004038BB">
      <w:pPr>
        <w:pStyle w:val="a3"/>
        <w:tabs>
          <w:tab w:val="clear" w:pos="3120"/>
          <w:tab w:val="clear" w:pos="3840"/>
          <w:tab w:val="clear" w:pos="4560"/>
          <w:tab w:val="clear" w:pos="4715"/>
        </w:tabs>
        <w:ind w:left="840" w:hanging="840"/>
      </w:pPr>
      <w:r>
        <w:rPr>
          <w:rFonts w:ascii="標楷體" w:hAnsi="標楷體"/>
        </w:rPr>
        <w:t>第六條</w:t>
      </w:r>
      <w:r>
        <w:rPr>
          <w:rFonts w:ascii="標楷體" w:hAnsi="標楷體"/>
        </w:rPr>
        <w:t xml:space="preserve">    </w:t>
      </w:r>
      <w:r>
        <w:rPr>
          <w:rFonts w:ascii="標楷體" w:hAnsi="標楷體" w:cs="新細明體"/>
          <w:kern w:val="0"/>
        </w:rPr>
        <w:t>營運機構就路線設施每年至少應辦理總檢查一次。</w:t>
      </w:r>
      <w:bookmarkEnd w:id="12"/>
    </w:p>
    <w:p w:rsidR="00C9589A" w:rsidRDefault="004038BB">
      <w:pPr>
        <w:pStyle w:val="a3"/>
        <w:tabs>
          <w:tab w:val="clear" w:pos="3120"/>
          <w:tab w:val="clear" w:pos="3840"/>
          <w:tab w:val="clear" w:pos="4560"/>
          <w:tab w:val="clear" w:pos="4715"/>
        </w:tabs>
        <w:snapToGrid w:val="0"/>
        <w:spacing w:before="0" w:after="0" w:line="460" w:lineRule="exact"/>
        <w:ind w:left="840" w:firstLine="280"/>
        <w:rPr>
          <w:rFonts w:ascii="標楷體" w:hAnsi="標楷體"/>
        </w:rPr>
      </w:pPr>
      <w:r>
        <w:rPr>
          <w:rFonts w:ascii="標楷體" w:hAnsi="標楷體"/>
        </w:rPr>
        <w:t xml:space="preserve">  </w:t>
      </w:r>
      <w:r>
        <w:rPr>
          <w:rFonts w:ascii="標楷體" w:hAnsi="標楷體"/>
        </w:rPr>
        <w:t>前項總檢查，應包括路線設施養護狀況、現時狀況及用料使用情形。</w:t>
      </w:r>
    </w:p>
    <w:p w:rsidR="00C9589A" w:rsidRDefault="004038BB">
      <w:pPr>
        <w:pStyle w:val="a3"/>
        <w:tabs>
          <w:tab w:val="clear" w:pos="3120"/>
          <w:tab w:val="clear" w:pos="3840"/>
          <w:tab w:val="clear" w:pos="4560"/>
          <w:tab w:val="clear" w:pos="4715"/>
        </w:tabs>
        <w:ind w:left="840" w:hanging="840"/>
      </w:pPr>
      <w:r>
        <w:rPr>
          <w:rFonts w:ascii="標楷體" w:hAnsi="標楷體"/>
        </w:rPr>
        <w:t>第七條</w:t>
      </w:r>
      <w:r>
        <w:rPr>
          <w:rFonts w:ascii="標楷體" w:hAnsi="標楷體"/>
        </w:rPr>
        <w:t xml:space="preserve">    </w:t>
      </w:r>
      <w:r>
        <w:rPr>
          <w:rFonts w:ascii="標楷體" w:hAnsi="標楷體"/>
        </w:rPr>
        <w:t>路線設施有下列情事之一者，</w:t>
      </w:r>
      <w:r>
        <w:rPr>
          <w:rFonts w:ascii="標楷體" w:hAnsi="標楷體" w:cs="新細明體"/>
          <w:kern w:val="0"/>
        </w:rPr>
        <w:t>營運機構</w:t>
      </w:r>
      <w:r>
        <w:rPr>
          <w:rFonts w:ascii="標楷體" w:hAnsi="標楷體"/>
        </w:rPr>
        <w:t>應採取安全措施並實施臨時檢修：</w:t>
      </w:r>
    </w:p>
    <w:p w:rsidR="00C9589A" w:rsidRDefault="004038BB">
      <w:pPr>
        <w:pStyle w:val="a3"/>
        <w:numPr>
          <w:ilvl w:val="0"/>
          <w:numId w:val="27"/>
        </w:numPr>
        <w:tabs>
          <w:tab w:val="clear" w:pos="3120"/>
          <w:tab w:val="clear" w:pos="3840"/>
          <w:tab w:val="clear" w:pos="4560"/>
          <w:tab w:val="clear" w:pos="4715"/>
        </w:tabs>
        <w:snapToGrid w:val="0"/>
        <w:spacing w:before="0" w:after="0"/>
        <w:ind w:left="2000" w:hanging="560"/>
        <w:rPr>
          <w:rFonts w:ascii="標楷體" w:hAnsi="標楷體"/>
        </w:rPr>
      </w:pPr>
      <w:r>
        <w:rPr>
          <w:rFonts w:ascii="標楷體" w:hAnsi="標楷體"/>
        </w:rPr>
        <w:t>發生事故。</w:t>
      </w:r>
    </w:p>
    <w:p w:rsidR="00C9589A" w:rsidRDefault="004038BB">
      <w:pPr>
        <w:pStyle w:val="a3"/>
        <w:numPr>
          <w:ilvl w:val="0"/>
          <w:numId w:val="27"/>
        </w:numPr>
        <w:tabs>
          <w:tab w:val="clear" w:pos="3120"/>
          <w:tab w:val="clear" w:pos="3840"/>
          <w:tab w:val="clear" w:pos="4560"/>
          <w:tab w:val="clear" w:pos="4715"/>
        </w:tabs>
        <w:ind w:left="2000" w:hanging="560"/>
        <w:rPr>
          <w:rFonts w:ascii="標楷體" w:hAnsi="標楷體"/>
        </w:rPr>
      </w:pPr>
      <w:r>
        <w:rPr>
          <w:rFonts w:ascii="標楷體" w:hAnsi="標楷體"/>
        </w:rPr>
        <w:t>發生故障或有故障之虞。</w:t>
      </w:r>
    </w:p>
    <w:p w:rsidR="00C9589A" w:rsidRDefault="004038BB">
      <w:pPr>
        <w:pStyle w:val="a3"/>
        <w:numPr>
          <w:ilvl w:val="0"/>
          <w:numId w:val="27"/>
        </w:numPr>
        <w:tabs>
          <w:tab w:val="clear" w:pos="3120"/>
          <w:tab w:val="clear" w:pos="3840"/>
          <w:tab w:val="clear" w:pos="4560"/>
          <w:tab w:val="clear" w:pos="4715"/>
        </w:tabs>
        <w:ind w:left="2000" w:hanging="560"/>
      </w:pPr>
      <w:r>
        <w:rPr>
          <w:rFonts w:ascii="標楷體" w:hAnsi="標楷體"/>
        </w:rPr>
        <w:t>停用一定期間準備恢復使用</w:t>
      </w:r>
      <w:r>
        <w:rPr>
          <w:rFonts w:ascii="標楷體" w:hAnsi="標楷體"/>
          <w:sz w:val="32"/>
        </w:rPr>
        <w:t>。</w:t>
      </w:r>
    </w:p>
    <w:p w:rsidR="00C9589A" w:rsidRDefault="004038BB">
      <w:pPr>
        <w:pStyle w:val="a3"/>
        <w:numPr>
          <w:ilvl w:val="0"/>
          <w:numId w:val="27"/>
        </w:numPr>
        <w:tabs>
          <w:tab w:val="clear" w:pos="3120"/>
          <w:tab w:val="clear" w:pos="3840"/>
          <w:tab w:val="clear" w:pos="4560"/>
          <w:tab w:val="clear" w:pos="4715"/>
        </w:tabs>
        <w:ind w:left="2000" w:hanging="560"/>
        <w:rPr>
          <w:rFonts w:ascii="標楷體" w:hAnsi="標楷體"/>
        </w:rPr>
      </w:pPr>
      <w:r>
        <w:rPr>
          <w:rFonts w:ascii="標楷體" w:hAnsi="標楷體"/>
        </w:rPr>
        <w:t>其他認為有檢修之必要。</w:t>
      </w:r>
    </w:p>
    <w:p w:rsidR="00C9589A" w:rsidRDefault="004038BB">
      <w:pPr>
        <w:pStyle w:val="a3"/>
        <w:tabs>
          <w:tab w:val="clear" w:pos="3120"/>
          <w:tab w:val="clear" w:pos="3840"/>
          <w:tab w:val="clear" w:pos="4560"/>
          <w:tab w:val="clear" w:pos="4715"/>
        </w:tabs>
        <w:ind w:left="840" w:hanging="840"/>
      </w:pPr>
      <w:r>
        <w:rPr>
          <w:rFonts w:ascii="標楷體" w:hAnsi="標楷體"/>
        </w:rPr>
        <w:t>第八條</w:t>
      </w:r>
      <w:r>
        <w:rPr>
          <w:rFonts w:ascii="標楷體" w:hAnsi="標楷體"/>
        </w:rPr>
        <w:t xml:space="preserve">    </w:t>
      </w:r>
      <w:r>
        <w:rPr>
          <w:rFonts w:ascii="標楷體" w:hAnsi="標楷體"/>
        </w:rPr>
        <w:t>路基、軌道設備，如因性能劣化、磨損已達</w:t>
      </w:r>
      <w:r>
        <w:rPr>
          <w:rFonts w:ascii="標楷體" w:hAnsi="標楷體" w:cs="新細明體"/>
          <w:kern w:val="0"/>
        </w:rPr>
        <w:t>營運機構</w:t>
      </w:r>
      <w:r>
        <w:rPr>
          <w:rFonts w:ascii="標楷體" w:hAnsi="標楷體"/>
        </w:rPr>
        <w:t>規定之限度或因故損傷破裂有危險之虞時，</w:t>
      </w:r>
      <w:r>
        <w:rPr>
          <w:rFonts w:ascii="標楷體" w:hAnsi="標楷體" w:cs="新細明體"/>
          <w:kern w:val="0"/>
        </w:rPr>
        <w:t>營運機構</w:t>
      </w:r>
      <w:r>
        <w:rPr>
          <w:rFonts w:ascii="標楷體" w:hAnsi="標楷體"/>
        </w:rPr>
        <w:t>應即抽換或更新。</w:t>
      </w:r>
    </w:p>
    <w:bookmarkEnd w:id="13"/>
    <w:p w:rsidR="00C9589A" w:rsidRDefault="004038BB">
      <w:pPr>
        <w:autoSpaceDE w:val="0"/>
        <w:snapToGrid w:val="0"/>
        <w:spacing w:line="460" w:lineRule="exact"/>
        <w:ind w:left="840" w:hanging="840"/>
        <w:jc w:val="both"/>
        <w:rPr>
          <w:rFonts w:ascii="標楷體" w:eastAsia="標楷體" w:hAnsi="標楷體"/>
          <w:sz w:val="28"/>
          <w:szCs w:val="28"/>
        </w:rPr>
      </w:pPr>
      <w:r>
        <w:rPr>
          <w:rFonts w:ascii="標楷體" w:eastAsia="標楷體" w:hAnsi="標楷體"/>
          <w:sz w:val="28"/>
          <w:szCs w:val="28"/>
        </w:rPr>
        <w:t>第九條</w:t>
      </w:r>
      <w:r>
        <w:rPr>
          <w:rFonts w:ascii="標楷體" w:eastAsia="標楷體" w:hAnsi="標楷體"/>
          <w:sz w:val="28"/>
          <w:szCs w:val="28"/>
        </w:rPr>
        <w:t xml:space="preserve">    </w:t>
      </w:r>
      <w:r>
        <w:rPr>
          <w:rFonts w:ascii="標楷體" w:eastAsia="標楷體" w:hAnsi="標楷體"/>
          <w:sz w:val="28"/>
          <w:szCs w:val="28"/>
        </w:rPr>
        <w:t>橋臺、橋墩或隧道如有下沉移動情形，營運機構應查明原因並設法加固改善。</w:t>
      </w:r>
    </w:p>
    <w:p w:rsidR="00C9589A" w:rsidRDefault="004038BB">
      <w:pPr>
        <w:autoSpaceDE w:val="0"/>
        <w:snapToGrid w:val="0"/>
        <w:spacing w:line="460" w:lineRule="exact"/>
        <w:ind w:left="840" w:hanging="840"/>
      </w:pPr>
      <w:r>
        <w:rPr>
          <w:rFonts w:ascii="標楷體" w:eastAsia="標楷體" w:hAnsi="標楷體"/>
          <w:sz w:val="28"/>
          <w:szCs w:val="28"/>
        </w:rPr>
        <w:lastRenderedPageBreak/>
        <w:t>第十條</w:t>
      </w:r>
      <w:r>
        <w:rPr>
          <w:rFonts w:ascii="標楷體" w:eastAsia="標楷體" w:hAnsi="標楷體"/>
          <w:sz w:val="28"/>
          <w:szCs w:val="28"/>
        </w:rPr>
        <w:t xml:space="preserve">    </w:t>
      </w:r>
      <w:r>
        <w:rPr>
          <w:rFonts w:ascii="標楷體" w:eastAsia="標楷體" w:hAnsi="標楷體"/>
          <w:sz w:val="28"/>
          <w:szCs w:val="28"/>
        </w:rPr>
        <w:t>橋涵之流水狀況、防護設施及上下游河道，營運機構均應注意檢查、修補、疏</w:t>
      </w:r>
      <w:r>
        <w:rPr>
          <w:rFonts w:ascii="標楷體" w:eastAsia="標楷體" w:hAnsi="標楷體" w:cs="細明體"/>
          <w:sz w:val="28"/>
          <w:szCs w:val="28"/>
        </w:rPr>
        <w:t>濬或洽請有關機關辦理。</w:t>
      </w:r>
    </w:p>
    <w:p w:rsidR="00C9589A" w:rsidRDefault="004038BB">
      <w:pPr>
        <w:autoSpaceDE w:val="0"/>
        <w:snapToGrid w:val="0"/>
        <w:spacing w:line="460" w:lineRule="exact"/>
        <w:ind w:left="840" w:hanging="840"/>
        <w:jc w:val="both"/>
      </w:pPr>
      <w:r>
        <w:rPr>
          <w:rFonts w:ascii="標楷體" w:eastAsia="標楷體" w:hAnsi="標楷體" w:cs="細明體"/>
          <w:sz w:val="28"/>
          <w:szCs w:val="28"/>
        </w:rPr>
        <w:t>第十一條</w:t>
      </w:r>
      <w:r>
        <w:rPr>
          <w:rFonts w:ascii="標楷體" w:eastAsia="標楷體" w:hAnsi="標楷體" w:cs="細明體"/>
          <w:sz w:val="28"/>
          <w:szCs w:val="28"/>
        </w:rPr>
        <w:t xml:space="preserve">    </w:t>
      </w:r>
      <w:r>
        <w:rPr>
          <w:rFonts w:ascii="標楷體" w:eastAsia="標楷體" w:hAnsi="標楷體" w:cs="細明體"/>
          <w:sz w:val="28"/>
          <w:szCs w:val="28"/>
        </w:rPr>
        <w:t>橋梁跨越之河流，遇有洪水及漲</w:t>
      </w:r>
      <w:r>
        <w:rPr>
          <w:rFonts w:ascii="標楷體" w:eastAsia="標楷體" w:hAnsi="標楷體" w:cs="細明體"/>
          <w:sz w:val="28"/>
          <w:szCs w:val="28"/>
        </w:rPr>
        <w:t>水有超過警戒水位之虞者，</w:t>
      </w:r>
      <w:r>
        <w:rPr>
          <w:rFonts w:ascii="標楷體" w:eastAsia="標楷體" w:hAnsi="標楷體"/>
          <w:sz w:val="28"/>
          <w:szCs w:val="28"/>
        </w:rPr>
        <w:t>營運機構</w:t>
      </w:r>
      <w:r>
        <w:rPr>
          <w:rFonts w:ascii="標楷體" w:eastAsia="標楷體" w:hAnsi="標楷體" w:cs="細明體"/>
          <w:sz w:val="28"/>
          <w:szCs w:val="28"/>
        </w:rPr>
        <w:t>應派員檢查記錄其水位，並勘查橋臺、橋墩附近河床狀態，繪圖記錄。</w:t>
      </w:r>
    </w:p>
    <w:p w:rsidR="00C9589A" w:rsidRDefault="004038BB">
      <w:pPr>
        <w:autoSpaceDE w:val="0"/>
        <w:snapToGrid w:val="0"/>
        <w:spacing w:line="460" w:lineRule="exact"/>
        <w:ind w:left="840" w:hanging="840"/>
        <w:jc w:val="both"/>
      </w:pPr>
      <w:r>
        <w:rPr>
          <w:rFonts w:ascii="標楷體" w:eastAsia="標楷體" w:hAnsi="標楷體" w:cs="細明體"/>
          <w:sz w:val="28"/>
          <w:szCs w:val="28"/>
        </w:rPr>
        <w:t>第十二條</w:t>
      </w:r>
      <w:r>
        <w:rPr>
          <w:rFonts w:ascii="標楷體" w:eastAsia="標楷體" w:hAnsi="標楷體" w:cs="細明體"/>
          <w:sz w:val="28"/>
          <w:szCs w:val="28"/>
        </w:rPr>
        <w:t xml:space="preserve">    </w:t>
      </w:r>
      <w:r>
        <w:rPr>
          <w:rFonts w:ascii="標楷體" w:eastAsia="標楷體" w:hAnsi="標楷體" w:cs="細明體"/>
          <w:sz w:val="28"/>
          <w:szCs w:val="28"/>
        </w:rPr>
        <w:t>橋涵、隧道及車站之排水設備</w:t>
      </w:r>
      <w:r>
        <w:rPr>
          <w:rFonts w:ascii="標楷體" w:eastAsia="標楷體" w:hAnsi="標楷體"/>
          <w:sz w:val="28"/>
          <w:szCs w:val="28"/>
        </w:rPr>
        <w:t>營運機構</w:t>
      </w:r>
      <w:r>
        <w:rPr>
          <w:rFonts w:ascii="標楷體" w:eastAsia="標楷體" w:hAnsi="標楷體" w:cs="細明體"/>
          <w:sz w:val="28"/>
          <w:szCs w:val="28"/>
        </w:rPr>
        <w:t>應定期及不定期檢修、保持排水通暢。</w:t>
      </w:r>
    </w:p>
    <w:p w:rsidR="00C9589A" w:rsidRDefault="004038BB">
      <w:pPr>
        <w:autoSpaceDE w:val="0"/>
        <w:snapToGrid w:val="0"/>
        <w:spacing w:line="460" w:lineRule="exact"/>
        <w:ind w:left="840" w:hanging="840"/>
        <w:jc w:val="both"/>
      </w:pPr>
      <w:r>
        <w:rPr>
          <w:rFonts w:ascii="標楷體" w:eastAsia="標楷體" w:hAnsi="標楷體" w:cs="細明體"/>
          <w:sz w:val="28"/>
          <w:szCs w:val="28"/>
        </w:rPr>
        <w:t>第十三條</w:t>
      </w:r>
      <w:r>
        <w:rPr>
          <w:rFonts w:ascii="標楷體" w:eastAsia="標楷體" w:hAnsi="標楷體" w:cs="細明體"/>
          <w:sz w:val="28"/>
          <w:szCs w:val="28"/>
        </w:rPr>
        <w:t xml:space="preserve">    </w:t>
      </w:r>
      <w:r>
        <w:rPr>
          <w:rFonts w:ascii="標楷體" w:eastAsia="標楷體" w:hAnsi="標楷體" w:cs="細明體"/>
          <w:sz w:val="28"/>
          <w:szCs w:val="28"/>
        </w:rPr>
        <w:t>消防安全設備之檢修項目，</w:t>
      </w:r>
      <w:r>
        <w:rPr>
          <w:rFonts w:ascii="標楷體" w:eastAsia="標楷體" w:hAnsi="標楷體"/>
          <w:sz w:val="28"/>
          <w:szCs w:val="28"/>
        </w:rPr>
        <w:t>營運機構</w:t>
      </w:r>
      <w:r>
        <w:rPr>
          <w:rFonts w:ascii="標楷體" w:eastAsia="標楷體" w:hAnsi="標楷體" w:cs="細明體"/>
          <w:sz w:val="28"/>
          <w:szCs w:val="28"/>
        </w:rPr>
        <w:t>應實施定期及不定期檢修，並做成紀錄，如因性能劣化或因故毀損者，應予換新。</w:t>
      </w:r>
    </w:p>
    <w:p w:rsidR="00C9589A" w:rsidRDefault="004038BB">
      <w:pPr>
        <w:autoSpaceDE w:val="0"/>
        <w:spacing w:line="460" w:lineRule="exact"/>
        <w:ind w:left="840" w:hanging="840"/>
        <w:jc w:val="both"/>
        <w:rPr>
          <w:rFonts w:ascii="標楷體" w:eastAsia="標楷體" w:hAnsi="標楷體" w:cs="細明體"/>
          <w:sz w:val="28"/>
          <w:szCs w:val="28"/>
        </w:rPr>
      </w:pPr>
      <w:r>
        <w:rPr>
          <w:rFonts w:ascii="標楷體" w:eastAsia="標楷體" w:hAnsi="標楷體" w:cs="細明體"/>
          <w:sz w:val="28"/>
          <w:szCs w:val="28"/>
        </w:rPr>
        <w:t>第十四條</w:t>
      </w:r>
      <w:r>
        <w:rPr>
          <w:rFonts w:ascii="標楷體" w:eastAsia="標楷體" w:hAnsi="標楷體" w:cs="細明體"/>
          <w:sz w:val="28"/>
          <w:szCs w:val="28"/>
        </w:rPr>
        <w:t xml:space="preserve">    </w:t>
      </w:r>
      <w:r>
        <w:rPr>
          <w:rFonts w:ascii="標楷體" w:eastAsia="標楷體" w:hAnsi="標楷體" w:cs="細明體"/>
          <w:sz w:val="28"/>
          <w:szCs w:val="28"/>
        </w:rPr>
        <w:t>機電設備有下列情事之一者，營運機構應採取安全措施並實施臨時檢修：</w:t>
      </w:r>
    </w:p>
    <w:p w:rsidR="00C9589A" w:rsidRDefault="004038BB">
      <w:pPr>
        <w:pStyle w:val="a5"/>
        <w:numPr>
          <w:ilvl w:val="0"/>
          <w:numId w:val="28"/>
        </w:numPr>
        <w:autoSpaceDE w:val="0"/>
        <w:spacing w:line="460" w:lineRule="exact"/>
        <w:ind w:left="2014" w:hanging="574"/>
        <w:rPr>
          <w:rFonts w:ascii="標楷體" w:eastAsia="標楷體" w:hAnsi="標楷體" w:cs="細明體"/>
          <w:sz w:val="28"/>
          <w:szCs w:val="28"/>
        </w:rPr>
      </w:pPr>
      <w:r>
        <w:rPr>
          <w:rFonts w:ascii="標楷體" w:eastAsia="標楷體" w:hAnsi="標楷體" w:cs="細明體"/>
          <w:sz w:val="28"/>
          <w:szCs w:val="28"/>
        </w:rPr>
        <w:t>發生事故。</w:t>
      </w:r>
    </w:p>
    <w:p w:rsidR="00C9589A" w:rsidRDefault="004038BB">
      <w:pPr>
        <w:pStyle w:val="a5"/>
        <w:numPr>
          <w:ilvl w:val="0"/>
          <w:numId w:val="28"/>
        </w:numPr>
        <w:autoSpaceDE w:val="0"/>
        <w:spacing w:line="460" w:lineRule="exact"/>
        <w:ind w:left="2014" w:hanging="574"/>
        <w:rPr>
          <w:rFonts w:ascii="標楷體" w:eastAsia="標楷體" w:hAnsi="標楷體" w:cs="細明體"/>
          <w:sz w:val="28"/>
          <w:szCs w:val="28"/>
        </w:rPr>
      </w:pPr>
      <w:r>
        <w:rPr>
          <w:rFonts w:ascii="標楷體" w:eastAsia="標楷體" w:hAnsi="標楷體" w:cs="細明體"/>
          <w:sz w:val="28"/>
          <w:szCs w:val="28"/>
        </w:rPr>
        <w:t>發生故障或有故障之虞。</w:t>
      </w:r>
    </w:p>
    <w:p w:rsidR="00C9589A" w:rsidRDefault="004038BB">
      <w:pPr>
        <w:pStyle w:val="a5"/>
        <w:numPr>
          <w:ilvl w:val="0"/>
          <w:numId w:val="28"/>
        </w:numPr>
        <w:autoSpaceDE w:val="0"/>
        <w:spacing w:line="460" w:lineRule="exact"/>
        <w:ind w:left="2014" w:hanging="574"/>
        <w:rPr>
          <w:rFonts w:ascii="標楷體" w:eastAsia="標楷體" w:hAnsi="標楷體" w:cs="細明體"/>
          <w:sz w:val="28"/>
          <w:szCs w:val="28"/>
        </w:rPr>
      </w:pPr>
      <w:r>
        <w:rPr>
          <w:rFonts w:ascii="標楷體" w:eastAsia="標楷體" w:hAnsi="標楷體" w:cs="細明體"/>
          <w:sz w:val="28"/>
          <w:szCs w:val="28"/>
        </w:rPr>
        <w:t>停用一定期間準備恢復使用。</w:t>
      </w:r>
    </w:p>
    <w:p w:rsidR="00C9589A" w:rsidRDefault="004038BB">
      <w:pPr>
        <w:pStyle w:val="a5"/>
        <w:numPr>
          <w:ilvl w:val="0"/>
          <w:numId w:val="28"/>
        </w:numPr>
        <w:autoSpaceDE w:val="0"/>
        <w:spacing w:line="460" w:lineRule="exact"/>
        <w:ind w:left="2014" w:hanging="574"/>
        <w:rPr>
          <w:rFonts w:ascii="標楷體" w:eastAsia="標楷體" w:hAnsi="標楷體" w:cs="細明體"/>
          <w:sz w:val="28"/>
          <w:szCs w:val="28"/>
        </w:rPr>
      </w:pPr>
      <w:r>
        <w:rPr>
          <w:rFonts w:ascii="標楷體" w:eastAsia="標楷體" w:hAnsi="標楷體" w:cs="細明體"/>
          <w:sz w:val="28"/>
          <w:szCs w:val="28"/>
        </w:rPr>
        <w:t>其他認為有檢修之必要。</w:t>
      </w:r>
    </w:p>
    <w:p w:rsidR="00C9589A" w:rsidRDefault="004038BB">
      <w:pPr>
        <w:autoSpaceDE w:val="0"/>
        <w:snapToGrid w:val="0"/>
        <w:spacing w:line="460" w:lineRule="exact"/>
        <w:ind w:left="840" w:hanging="840"/>
        <w:jc w:val="both"/>
        <w:rPr>
          <w:rFonts w:ascii="標楷體" w:eastAsia="標楷體" w:hAnsi="標楷體" w:cs="細明體"/>
          <w:sz w:val="28"/>
          <w:szCs w:val="28"/>
        </w:rPr>
      </w:pPr>
      <w:r>
        <w:rPr>
          <w:rFonts w:ascii="標楷體" w:eastAsia="標楷體" w:hAnsi="標楷體" w:cs="細明體"/>
          <w:sz w:val="28"/>
          <w:szCs w:val="28"/>
        </w:rPr>
        <w:t>第十五條</w:t>
      </w:r>
      <w:r>
        <w:rPr>
          <w:rFonts w:ascii="標楷體" w:eastAsia="標楷體" w:hAnsi="標楷體" w:cs="細明體"/>
          <w:sz w:val="28"/>
          <w:szCs w:val="28"/>
        </w:rPr>
        <w:t xml:space="preserve">    </w:t>
      </w:r>
      <w:r>
        <w:rPr>
          <w:rFonts w:ascii="標楷體" w:eastAsia="標楷體" w:hAnsi="標楷體" w:cs="細明體"/>
          <w:sz w:val="28"/>
          <w:szCs w:val="28"/>
        </w:rPr>
        <w:t>機電設備，如因性能劣化或因故毀損者，營運機構應予換新。</w:t>
      </w:r>
    </w:p>
    <w:p w:rsidR="00C9589A" w:rsidRDefault="004038BB">
      <w:pPr>
        <w:autoSpaceDE w:val="0"/>
        <w:snapToGrid w:val="0"/>
        <w:spacing w:line="460" w:lineRule="exact"/>
        <w:ind w:left="840" w:hanging="840"/>
        <w:jc w:val="both"/>
        <w:rPr>
          <w:rFonts w:ascii="標楷體" w:eastAsia="標楷體" w:hAnsi="標楷體" w:cs="細明體"/>
          <w:sz w:val="28"/>
          <w:szCs w:val="28"/>
        </w:rPr>
      </w:pPr>
      <w:r>
        <w:rPr>
          <w:rFonts w:ascii="標楷體" w:eastAsia="標楷體" w:hAnsi="標楷體" w:cs="細明體"/>
          <w:sz w:val="28"/>
          <w:szCs w:val="28"/>
        </w:rPr>
        <w:t>第十六條</w:t>
      </w:r>
      <w:r>
        <w:rPr>
          <w:rFonts w:ascii="標楷體" w:eastAsia="標楷體" w:hAnsi="標楷體" w:cs="細明體"/>
          <w:sz w:val="28"/>
          <w:szCs w:val="28"/>
        </w:rPr>
        <w:t xml:space="preserve">    </w:t>
      </w:r>
      <w:r>
        <w:rPr>
          <w:rFonts w:ascii="標楷體" w:eastAsia="標楷體" w:hAnsi="標楷體" w:cs="細明體"/>
          <w:sz w:val="28"/>
          <w:szCs w:val="28"/>
        </w:rPr>
        <w:t>營運機構為維護路線設施及機電設備檢修品質與安全，應訂定檢修規定，報請本府核定後實施。</w:t>
      </w:r>
    </w:p>
    <w:p w:rsidR="00C9589A" w:rsidRDefault="004038BB">
      <w:pPr>
        <w:tabs>
          <w:tab w:val="left" w:pos="5652"/>
        </w:tabs>
        <w:autoSpaceDE w:val="0"/>
        <w:snapToGrid w:val="0"/>
        <w:spacing w:line="460" w:lineRule="exact"/>
        <w:ind w:left="840" w:hanging="840"/>
        <w:jc w:val="both"/>
        <w:rPr>
          <w:rFonts w:ascii="標楷體" w:eastAsia="標楷體" w:hAnsi="標楷體" w:cs="細明體"/>
          <w:sz w:val="28"/>
          <w:szCs w:val="28"/>
        </w:rPr>
      </w:pPr>
      <w:r>
        <w:rPr>
          <w:rFonts w:ascii="標楷體" w:eastAsia="標楷體" w:hAnsi="標楷體" w:cs="細明體"/>
          <w:sz w:val="28"/>
          <w:szCs w:val="28"/>
        </w:rPr>
        <w:t>第十七條</w:t>
      </w:r>
      <w:r>
        <w:rPr>
          <w:rFonts w:ascii="標楷體" w:eastAsia="標楷體" w:hAnsi="標楷體" w:cs="細明體"/>
          <w:sz w:val="28"/>
          <w:szCs w:val="28"/>
        </w:rPr>
        <w:t xml:space="preserve">    </w:t>
      </w:r>
      <w:r>
        <w:rPr>
          <w:rFonts w:ascii="標楷體" w:eastAsia="標楷體" w:hAnsi="標楷體" w:cs="細明體"/>
          <w:sz w:val="28"/>
          <w:szCs w:val="28"/>
        </w:rPr>
        <w:t>本規則自發布日施行。</w:t>
      </w:r>
      <w:r>
        <w:rPr>
          <w:rFonts w:ascii="標楷體" w:eastAsia="標楷體" w:hAnsi="標楷體" w:cs="細明體"/>
          <w:sz w:val="28"/>
          <w:szCs w:val="28"/>
        </w:rPr>
        <w:tab/>
      </w:r>
    </w:p>
    <w:bookmarkEnd w:id="3"/>
    <w:bookmarkEnd w:id="4"/>
    <w:bookmarkEnd w:id="5"/>
    <w:bookmarkEnd w:id="6"/>
    <w:bookmarkEnd w:id="7"/>
    <w:bookmarkEnd w:id="8"/>
    <w:bookmarkEnd w:id="9"/>
    <w:p w:rsidR="00C9589A" w:rsidRDefault="004038BB">
      <w:pPr>
        <w:tabs>
          <w:tab w:val="left" w:pos="6228"/>
        </w:tabs>
      </w:pPr>
      <w:r>
        <w:tab/>
      </w:r>
    </w:p>
    <w:sectPr w:rsidR="00C9589A">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38BB" w:rsidRDefault="004038BB">
      <w:r>
        <w:separator/>
      </w:r>
    </w:p>
  </w:endnote>
  <w:endnote w:type="continuationSeparator" w:id="0">
    <w:p w:rsidR="004038BB" w:rsidRDefault="00403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38BB" w:rsidRDefault="004038BB">
      <w:r>
        <w:rPr>
          <w:color w:val="000000"/>
        </w:rPr>
        <w:separator/>
      </w:r>
    </w:p>
  </w:footnote>
  <w:footnote w:type="continuationSeparator" w:id="0">
    <w:p w:rsidR="004038BB" w:rsidRDefault="004038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F5178"/>
    <w:multiLevelType w:val="multilevel"/>
    <w:tmpl w:val="576888D4"/>
    <w:lvl w:ilvl="0">
      <w:start w:val="1"/>
      <w:numFmt w:val="taiwaneseCountingThousand"/>
      <w:lvlText w:val="%1、"/>
      <w:lvlJc w:val="left"/>
      <w:pPr>
        <w:ind w:left="2160" w:hanging="480"/>
      </w:pPr>
    </w:lvl>
    <w:lvl w:ilvl="1">
      <w:start w:val="1"/>
      <w:numFmt w:val="ideographTraditional"/>
      <w:lvlText w:val="%2、"/>
      <w:lvlJc w:val="left"/>
      <w:pPr>
        <w:ind w:left="2640" w:hanging="480"/>
      </w:pPr>
    </w:lvl>
    <w:lvl w:ilvl="2">
      <w:start w:val="1"/>
      <w:numFmt w:val="lowerRoman"/>
      <w:lvlText w:val="%3."/>
      <w:lvlJc w:val="right"/>
      <w:pPr>
        <w:ind w:left="3120" w:hanging="480"/>
      </w:pPr>
    </w:lvl>
    <w:lvl w:ilvl="3">
      <w:start w:val="1"/>
      <w:numFmt w:val="decimal"/>
      <w:lvlText w:val="%4."/>
      <w:lvlJc w:val="left"/>
      <w:pPr>
        <w:ind w:left="3600" w:hanging="480"/>
      </w:pPr>
    </w:lvl>
    <w:lvl w:ilvl="4">
      <w:start w:val="1"/>
      <w:numFmt w:val="ideographTraditional"/>
      <w:lvlText w:val="%5、"/>
      <w:lvlJc w:val="left"/>
      <w:pPr>
        <w:ind w:left="4080" w:hanging="480"/>
      </w:pPr>
    </w:lvl>
    <w:lvl w:ilvl="5">
      <w:start w:val="1"/>
      <w:numFmt w:val="lowerRoman"/>
      <w:lvlText w:val="%6."/>
      <w:lvlJc w:val="right"/>
      <w:pPr>
        <w:ind w:left="4560" w:hanging="480"/>
      </w:pPr>
    </w:lvl>
    <w:lvl w:ilvl="6">
      <w:start w:val="1"/>
      <w:numFmt w:val="decimal"/>
      <w:lvlText w:val="%7."/>
      <w:lvlJc w:val="left"/>
      <w:pPr>
        <w:ind w:left="5040" w:hanging="480"/>
      </w:pPr>
    </w:lvl>
    <w:lvl w:ilvl="7">
      <w:start w:val="1"/>
      <w:numFmt w:val="ideographTraditional"/>
      <w:lvlText w:val="%8、"/>
      <w:lvlJc w:val="left"/>
      <w:pPr>
        <w:ind w:left="5520" w:hanging="480"/>
      </w:pPr>
    </w:lvl>
    <w:lvl w:ilvl="8">
      <w:start w:val="1"/>
      <w:numFmt w:val="lowerRoman"/>
      <w:lvlText w:val="%9."/>
      <w:lvlJc w:val="right"/>
      <w:pPr>
        <w:ind w:left="6000" w:hanging="480"/>
      </w:pPr>
    </w:lvl>
  </w:abstractNum>
  <w:abstractNum w:abstractNumId="1" w15:restartNumberingAfterBreak="0">
    <w:nsid w:val="18FA65B1"/>
    <w:multiLevelType w:val="multilevel"/>
    <w:tmpl w:val="0E6ECD7E"/>
    <w:lvl w:ilvl="0">
      <w:start w:val="1"/>
      <w:numFmt w:val="taiwaneseCountingThousand"/>
      <w:lvlText w:val="%1、"/>
      <w:lvlJc w:val="left"/>
      <w:pPr>
        <w:ind w:left="600" w:hanging="480"/>
      </w:pPr>
      <w:rPr>
        <w:rFonts w:ascii="標楷體" w:eastAsia="標楷體" w:hAnsi="標楷體"/>
      </w:r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2" w15:restartNumberingAfterBreak="0">
    <w:nsid w:val="22BC482B"/>
    <w:multiLevelType w:val="multilevel"/>
    <w:tmpl w:val="DB168338"/>
    <w:styleLink w:val="WWOutlineListStyle13"/>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5D8779F"/>
    <w:multiLevelType w:val="multilevel"/>
    <w:tmpl w:val="BD76C704"/>
    <w:styleLink w:val="WWOutlineListStyle3"/>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26D149D6"/>
    <w:multiLevelType w:val="multilevel"/>
    <w:tmpl w:val="C1E02246"/>
    <w:styleLink w:val="WWOutlineListStyle4"/>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3261012E"/>
    <w:multiLevelType w:val="multilevel"/>
    <w:tmpl w:val="C1A6B04A"/>
    <w:styleLink w:val="WWOutlineListStyle7"/>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4CA55C9"/>
    <w:multiLevelType w:val="multilevel"/>
    <w:tmpl w:val="A802EEF2"/>
    <w:lvl w:ilvl="0">
      <w:start w:val="1"/>
      <w:numFmt w:val="taiwaneseCountingThousand"/>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7" w15:restartNumberingAfterBreak="0">
    <w:nsid w:val="36A101F1"/>
    <w:multiLevelType w:val="multilevel"/>
    <w:tmpl w:val="574EE356"/>
    <w:styleLink w:val="WWOutlineListStyle12"/>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86119B5"/>
    <w:multiLevelType w:val="multilevel"/>
    <w:tmpl w:val="DFBA6188"/>
    <w:lvl w:ilvl="0">
      <w:start w:val="1"/>
      <w:numFmt w:val="taiwaneseCountingThousand"/>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9" w15:restartNumberingAfterBreak="0">
    <w:nsid w:val="3CD97E32"/>
    <w:multiLevelType w:val="multilevel"/>
    <w:tmpl w:val="1244FB38"/>
    <w:styleLink w:val="WWOutlineListStyle5"/>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04B50CA"/>
    <w:multiLevelType w:val="multilevel"/>
    <w:tmpl w:val="48321B1C"/>
    <w:styleLink w:val="WWOutlineListStyle14"/>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0C22093"/>
    <w:multiLevelType w:val="multilevel"/>
    <w:tmpl w:val="B5A2B788"/>
    <w:styleLink w:val="WWOutlineListStyle6"/>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2D8194D"/>
    <w:multiLevelType w:val="multilevel"/>
    <w:tmpl w:val="BE041876"/>
    <w:styleLink w:val="WWOutlineListStyle2"/>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79843D2"/>
    <w:multiLevelType w:val="multilevel"/>
    <w:tmpl w:val="21622340"/>
    <w:styleLink w:val="WWOutlineListStyle"/>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82E4871"/>
    <w:multiLevelType w:val="multilevel"/>
    <w:tmpl w:val="AB30BD52"/>
    <w:styleLink w:val="WWOutlineListStyle17"/>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9795FD4"/>
    <w:multiLevelType w:val="multilevel"/>
    <w:tmpl w:val="28DC042C"/>
    <w:styleLink w:val="WWOutlineListStyle8"/>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C9B23F3"/>
    <w:multiLevelType w:val="multilevel"/>
    <w:tmpl w:val="B6C67130"/>
    <w:styleLink w:val="WWOutlineListStyle19"/>
    <w:lvl w:ilvl="0">
      <w:start w:val="1"/>
      <w:numFmt w:val="decimal"/>
      <w:pStyle w:val="HSR1"/>
      <w:lvlText w:val="%1.0"/>
      <w:lvlJc w:val="left"/>
      <w:pPr>
        <w:ind w:left="851" w:hanging="851"/>
      </w:pPr>
      <w:rPr>
        <w:rFonts w:ascii="Times New Roman" w:eastAsia="標楷體" w:hAnsi="Times New Roman" w:cs="Times New Roman"/>
        <w:b/>
        <w:i w:val="0"/>
        <w:sz w:val="24"/>
      </w:rPr>
    </w:lvl>
    <w:lvl w:ilvl="1">
      <w:start w:val="1"/>
      <w:numFmt w:val="decimal"/>
      <w:pStyle w:val="HSR2"/>
      <w:lvlText w:val="%1.%2"/>
      <w:lvlJc w:val="left"/>
      <w:pPr>
        <w:ind w:left="851" w:hanging="851"/>
      </w:pPr>
      <w:rPr>
        <w:rFonts w:ascii="Times New Roman" w:eastAsia="標楷體" w:hAnsi="Times New Roman" w:cs="Times New Roman"/>
        <w:b w:val="0"/>
        <w:i w:val="0"/>
        <w:sz w:val="24"/>
      </w:rPr>
    </w:lvl>
    <w:lvl w:ilvl="2">
      <w:start w:val="1"/>
      <w:numFmt w:val="decimal"/>
      <w:pStyle w:val="HSR3"/>
      <w:lvlText w:val="%1.%2.%3"/>
      <w:lvlJc w:val="left"/>
      <w:pPr>
        <w:ind w:left="1277" w:hanging="851"/>
      </w:pPr>
      <w:rPr>
        <w:rFonts w:ascii="Times New Roman" w:eastAsia="標楷體" w:hAnsi="Times New Roman" w:cs="Times New Roman"/>
        <w:b w:val="0"/>
        <w:i w:val="0"/>
        <w:sz w:val="24"/>
      </w:rPr>
    </w:lvl>
    <w:lvl w:ilvl="3">
      <w:start w:val="1"/>
      <w:numFmt w:val="lowerRoman"/>
      <w:pStyle w:val="HSR4"/>
      <w:lvlText w:val="%4)"/>
      <w:lvlJc w:val="left"/>
      <w:pPr>
        <w:ind w:left="1985" w:hanging="709"/>
      </w:pPr>
      <w:rPr>
        <w:b w:val="0"/>
        <w:i w:val="0"/>
        <w:sz w:val="24"/>
      </w:rPr>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4D7B3BFC"/>
    <w:multiLevelType w:val="multilevel"/>
    <w:tmpl w:val="EA2AF844"/>
    <w:styleLink w:val="WWOutlineListStyle16"/>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FC17474"/>
    <w:multiLevelType w:val="multilevel"/>
    <w:tmpl w:val="AA10C5BC"/>
    <w:lvl w:ilvl="0">
      <w:start w:val="1"/>
      <w:numFmt w:val="taiwaneseCountingThousand"/>
      <w:lvlText w:val="%1、"/>
      <w:lvlJc w:val="left"/>
      <w:pPr>
        <w:ind w:left="2891"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55962A12"/>
    <w:multiLevelType w:val="multilevel"/>
    <w:tmpl w:val="4A645A5C"/>
    <w:styleLink w:val="WWOutlineListStyle10"/>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58C25755"/>
    <w:multiLevelType w:val="multilevel"/>
    <w:tmpl w:val="50BC9092"/>
    <w:styleLink w:val="LFO1"/>
    <w:lvl w:ilvl="0">
      <w:start w:val="1"/>
      <w:numFmt w:val="decimal"/>
      <w:pStyle w:val="HSR7"/>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decimal"/>
      <w:lvlText w:val="%1.%2.%3.%4"/>
      <w:lvlJc w:val="left"/>
      <w:pPr>
        <w:ind w:left="851" w:hanging="851"/>
      </w:pPr>
      <w:rPr>
        <w:rFonts w:ascii="Times New Roman" w:eastAsia="標楷體" w:hAnsi="Times New Roman" w:cs="Times New Roman"/>
        <w:b w:val="0"/>
        <w:i w:val="0"/>
        <w:color w:val="auto"/>
        <w:sz w:val="24"/>
      </w:rPr>
    </w:lvl>
    <w:lvl w:ilvl="4">
      <w:start w:val="1"/>
      <w:numFmt w:val="lowerLetter"/>
      <w:lvlText w:val="%5)"/>
      <w:lvlJc w:val="left"/>
      <w:pPr>
        <w:ind w:left="1276" w:hanging="425"/>
      </w:pPr>
      <w:rPr>
        <w:rFonts w:ascii="Times New Roman" w:eastAsia="標楷體" w:hAnsi="Times New Roman" w:cs="Times New Roman"/>
        <w:b w:val="0"/>
        <w:i w:val="0"/>
        <w:color w:val="auto"/>
        <w:sz w:val="24"/>
      </w:rPr>
    </w:lvl>
    <w:lvl w:ilvl="5">
      <w:start w:val="1"/>
      <w:numFmt w:val="lowerRoman"/>
      <w:lvlText w:val="%6)"/>
      <w:lvlJc w:val="left"/>
      <w:pPr>
        <w:ind w:left="1985" w:hanging="709"/>
      </w:pPr>
      <w:rPr>
        <w:b w:val="0"/>
        <w:i w:val="0"/>
        <w:sz w:val="24"/>
      </w:rPr>
    </w:lvl>
    <w:lvl w:ilvl="6">
      <w:start w:val="1"/>
      <w:numFmt w:val="decimal"/>
      <w:lvlText w:val="(%7)"/>
      <w:lvlJc w:val="left"/>
      <w:pPr>
        <w:ind w:left="2410" w:hanging="425"/>
      </w:pPr>
      <w:rPr>
        <w:rFonts w:ascii="Times New Roman" w:eastAsia="標楷體" w:hAnsi="Times New Roman" w:cs="Times New Roman"/>
      </w:rPr>
    </w:lvl>
    <w:lvl w:ilvl="7">
      <w:numFmt w:val="bullet"/>
      <w:lvlText w:val=""/>
      <w:lvlJc w:val="left"/>
      <w:pPr>
        <w:ind w:left="2835" w:hanging="425"/>
      </w:pPr>
      <w:rPr>
        <w:rFonts w:ascii="Symbol" w:hAnsi="Symbol"/>
        <w:color w:val="auto"/>
      </w:rPr>
    </w:lvl>
    <w:lvl w:ilvl="8">
      <w:start w:val="1"/>
      <w:numFmt w:val="none"/>
      <w:lvlText w:val="%9"/>
      <w:lvlJc w:val="left"/>
      <w:pPr>
        <w:ind w:left="2410" w:firstLine="0"/>
      </w:pPr>
      <w:rPr>
        <w:rFonts w:ascii="Wingdings" w:hAnsi="Wingdings"/>
      </w:rPr>
    </w:lvl>
  </w:abstractNum>
  <w:abstractNum w:abstractNumId="21" w15:restartNumberingAfterBreak="0">
    <w:nsid w:val="6B585237"/>
    <w:multiLevelType w:val="multilevel"/>
    <w:tmpl w:val="9800D024"/>
    <w:styleLink w:val="WWOutlineListStyle11"/>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991C88"/>
    <w:multiLevelType w:val="multilevel"/>
    <w:tmpl w:val="78688DC6"/>
    <w:styleLink w:val="WWOutlineListStyle1"/>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E3A642E"/>
    <w:multiLevelType w:val="multilevel"/>
    <w:tmpl w:val="198A1D48"/>
    <w:styleLink w:val="WWOutlineListStyle9"/>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71103C24"/>
    <w:multiLevelType w:val="multilevel"/>
    <w:tmpl w:val="BE30BBAE"/>
    <w:styleLink w:val="WWOutlineListStyle18"/>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77024A71"/>
    <w:multiLevelType w:val="multilevel"/>
    <w:tmpl w:val="09D81256"/>
    <w:lvl w:ilvl="0">
      <w:start w:val="1"/>
      <w:numFmt w:val="taiwaneseCountingThousand"/>
      <w:lvlText w:val="%1、"/>
      <w:lvlJc w:val="left"/>
      <w:pPr>
        <w:ind w:left="720" w:hanging="480"/>
      </w:pPr>
      <w:rPr>
        <w:color w:val="auto"/>
        <w:lang w:val="en-US"/>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6" w15:restartNumberingAfterBreak="0">
    <w:nsid w:val="7AD87644"/>
    <w:multiLevelType w:val="multilevel"/>
    <w:tmpl w:val="B21C7F12"/>
    <w:lvl w:ilvl="0">
      <w:start w:val="1"/>
      <w:numFmt w:val="taiwaneseCountingThousand"/>
      <w:lvlText w:val="%1、"/>
      <w:lvlJc w:val="left"/>
      <w:pPr>
        <w:ind w:left="600" w:hanging="480"/>
      </w:pPr>
      <w:rPr>
        <w:rFonts w:ascii="標楷體" w:eastAsia="標楷體" w:hAnsi="標楷體"/>
      </w:r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27" w15:restartNumberingAfterBreak="0">
    <w:nsid w:val="7DA03D46"/>
    <w:multiLevelType w:val="multilevel"/>
    <w:tmpl w:val="C79C3396"/>
    <w:styleLink w:val="WWOutlineListStyle15"/>
    <w:lvl w:ilvl="0">
      <w:start w:val="1"/>
      <w:numFmt w:val="decimal"/>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lowerRoman"/>
      <w:lvlText w:val="%4)"/>
      <w:lvlJc w:val="left"/>
      <w:pPr>
        <w:ind w:left="1985" w:hanging="709"/>
      </w:pPr>
      <w:rPr>
        <w:b w:val="0"/>
        <w:i w:val="0"/>
        <w:sz w:val="24"/>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6"/>
  </w:num>
  <w:num w:numId="2">
    <w:abstractNumId w:val="24"/>
  </w:num>
  <w:num w:numId="3">
    <w:abstractNumId w:val="14"/>
  </w:num>
  <w:num w:numId="4">
    <w:abstractNumId w:val="17"/>
  </w:num>
  <w:num w:numId="5">
    <w:abstractNumId w:val="27"/>
  </w:num>
  <w:num w:numId="6">
    <w:abstractNumId w:val="10"/>
  </w:num>
  <w:num w:numId="7">
    <w:abstractNumId w:val="2"/>
  </w:num>
  <w:num w:numId="8">
    <w:abstractNumId w:val="7"/>
  </w:num>
  <w:num w:numId="9">
    <w:abstractNumId w:val="21"/>
  </w:num>
  <w:num w:numId="10">
    <w:abstractNumId w:val="19"/>
  </w:num>
  <w:num w:numId="11">
    <w:abstractNumId w:val="23"/>
  </w:num>
  <w:num w:numId="12">
    <w:abstractNumId w:val="15"/>
  </w:num>
  <w:num w:numId="13">
    <w:abstractNumId w:val="5"/>
  </w:num>
  <w:num w:numId="14">
    <w:abstractNumId w:val="11"/>
  </w:num>
  <w:num w:numId="15">
    <w:abstractNumId w:val="9"/>
  </w:num>
  <w:num w:numId="16">
    <w:abstractNumId w:val="4"/>
  </w:num>
  <w:num w:numId="17">
    <w:abstractNumId w:val="3"/>
  </w:num>
  <w:num w:numId="18">
    <w:abstractNumId w:val="12"/>
  </w:num>
  <w:num w:numId="19">
    <w:abstractNumId w:val="22"/>
  </w:num>
  <w:num w:numId="20">
    <w:abstractNumId w:val="13"/>
  </w:num>
  <w:num w:numId="21">
    <w:abstractNumId w:val="20"/>
  </w:num>
  <w:num w:numId="22">
    <w:abstractNumId w:val="18"/>
  </w:num>
  <w:num w:numId="23">
    <w:abstractNumId w:val="25"/>
  </w:num>
  <w:num w:numId="24">
    <w:abstractNumId w:val="26"/>
  </w:num>
  <w:num w:numId="25">
    <w:abstractNumId w:val="1"/>
  </w:num>
  <w:num w:numId="26">
    <w:abstractNumId w:val="6"/>
  </w:num>
  <w:num w:numId="27">
    <w:abstractNumId w:val="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C9589A"/>
    <w:rsid w:val="000C2866"/>
    <w:rsid w:val="004038BB"/>
    <w:rsid w:val="00C958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2CAE6E-1237-4991-AEAB-224CEAC71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ascii="Times New Roman" w:hAnsi="Times New Roman"/>
      <w:szCs w:val="20"/>
    </w:rPr>
  </w:style>
  <w:style w:type="paragraph" w:styleId="1">
    <w:name w:val="heading 1"/>
    <w:basedOn w:val="a"/>
    <w:next w:val="a"/>
    <w:pPr>
      <w:keepNext/>
      <w:spacing w:before="180" w:after="180" w:line="720" w:lineRule="auto"/>
      <w:outlineLvl w:val="0"/>
    </w:pPr>
    <w:rPr>
      <w:rFonts w:ascii="Cambria" w:hAnsi="Cambria"/>
      <w:b/>
      <w:bCs/>
      <w:sz w:val="52"/>
      <w:szCs w:val="52"/>
    </w:rPr>
  </w:style>
  <w:style w:type="paragraph" w:styleId="2">
    <w:name w:val="heading 2"/>
    <w:basedOn w:val="a"/>
    <w:next w:val="a"/>
    <w:pPr>
      <w:keepNext/>
      <w:spacing w:line="720" w:lineRule="auto"/>
      <w:outlineLvl w:val="1"/>
    </w:pPr>
    <w:rPr>
      <w:rFonts w:ascii="Cambria" w:hAnsi="Cambria"/>
      <w:b/>
      <w:bCs/>
      <w:sz w:val="48"/>
      <w:szCs w:val="48"/>
    </w:rPr>
  </w:style>
  <w:style w:type="paragraph" w:styleId="3">
    <w:name w:val="heading 3"/>
    <w:basedOn w:val="a"/>
    <w:next w:val="a"/>
    <w:pPr>
      <w:keepNext/>
      <w:spacing w:line="720" w:lineRule="auto"/>
      <w:outlineLvl w:val="2"/>
    </w:pPr>
    <w:rPr>
      <w:rFonts w:ascii="Cambria" w:hAnsi="Cambria"/>
      <w:b/>
      <w:bCs/>
      <w:sz w:val="36"/>
      <w:szCs w:val="36"/>
    </w:rPr>
  </w:style>
  <w:style w:type="paragraph" w:styleId="4">
    <w:name w:val="heading 4"/>
    <w:basedOn w:val="a"/>
    <w:next w:val="a"/>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19">
    <w:name w:val="WW_OutlineListStyle_19"/>
    <w:basedOn w:val="a2"/>
    <w:pPr>
      <w:numPr>
        <w:numId w:val="1"/>
      </w:numPr>
    </w:pPr>
  </w:style>
  <w:style w:type="paragraph" w:customStyle="1" w:styleId="HSR1">
    <w:name w:val="HSR.標題.1"/>
    <w:basedOn w:val="1"/>
    <w:pPr>
      <w:keepNext w:val="0"/>
      <w:numPr>
        <w:numId w:val="1"/>
      </w:numPr>
      <w:tabs>
        <w:tab w:val="left" w:pos="-15809"/>
        <w:tab w:val="left" w:pos="-15318"/>
      </w:tabs>
      <w:snapToGrid w:val="0"/>
      <w:spacing w:before="240" w:after="120" w:line="240" w:lineRule="auto"/>
    </w:pPr>
    <w:rPr>
      <w:rFonts w:ascii="Times New Roman" w:eastAsia="標楷體" w:hAnsi="Times New Roman"/>
      <w:bCs w:val="0"/>
      <w:sz w:val="24"/>
      <w:szCs w:val="20"/>
    </w:rPr>
  </w:style>
  <w:style w:type="paragraph" w:customStyle="1" w:styleId="HSR2">
    <w:name w:val="HSR.標題.2"/>
    <w:basedOn w:val="2"/>
    <w:pPr>
      <w:keepNext w:val="0"/>
      <w:numPr>
        <w:ilvl w:val="1"/>
        <w:numId w:val="1"/>
      </w:numPr>
      <w:tabs>
        <w:tab w:val="left" w:pos="-15809"/>
        <w:tab w:val="left" w:pos="-15318"/>
      </w:tabs>
      <w:spacing w:before="120" w:after="120" w:line="240" w:lineRule="auto"/>
      <w:jc w:val="both"/>
    </w:pPr>
    <w:rPr>
      <w:rFonts w:ascii="Times New Roman" w:eastAsia="標楷體" w:hAnsi="Times New Roman"/>
      <w:b w:val="0"/>
      <w:bCs w:val="0"/>
      <w:sz w:val="24"/>
      <w:szCs w:val="20"/>
    </w:rPr>
  </w:style>
  <w:style w:type="paragraph" w:customStyle="1" w:styleId="HSR3">
    <w:name w:val="HSR.標題.3"/>
    <w:basedOn w:val="3"/>
    <w:pPr>
      <w:keepNext w:val="0"/>
      <w:numPr>
        <w:ilvl w:val="2"/>
        <w:numId w:val="1"/>
      </w:numPr>
      <w:tabs>
        <w:tab w:val="left" w:pos="-23903"/>
        <w:tab w:val="left" w:pos="-22986"/>
      </w:tabs>
      <w:spacing w:before="120" w:after="120" w:line="240" w:lineRule="auto"/>
      <w:jc w:val="both"/>
    </w:pPr>
    <w:rPr>
      <w:rFonts w:ascii="Times New Roman" w:eastAsia="標楷體" w:hAnsi="Times New Roman"/>
      <w:b w:val="0"/>
      <w:bCs w:val="0"/>
      <w:sz w:val="24"/>
      <w:szCs w:val="20"/>
    </w:rPr>
  </w:style>
  <w:style w:type="paragraph" w:customStyle="1" w:styleId="HSR4">
    <w:name w:val="HSR.標題.4"/>
    <w:basedOn w:val="4"/>
    <w:pPr>
      <w:keepNext w:val="0"/>
      <w:numPr>
        <w:ilvl w:val="3"/>
        <w:numId w:val="1"/>
      </w:numPr>
      <w:tabs>
        <w:tab w:val="left" w:pos="27710"/>
        <w:tab w:val="left" w:pos="29695"/>
      </w:tabs>
      <w:spacing w:before="120" w:after="120" w:line="240" w:lineRule="auto"/>
      <w:jc w:val="both"/>
    </w:pPr>
    <w:rPr>
      <w:rFonts w:ascii="Times New Roman" w:eastAsia="標楷體" w:hAnsi="Times New Roman"/>
      <w:kern w:val="0"/>
      <w:sz w:val="24"/>
      <w:szCs w:val="20"/>
    </w:rPr>
  </w:style>
  <w:style w:type="paragraph" w:styleId="a3">
    <w:name w:val="Body Text Indent"/>
    <w:basedOn w:val="a"/>
    <w:pPr>
      <w:tabs>
        <w:tab w:val="left" w:pos="3120"/>
        <w:tab w:val="left" w:pos="3840"/>
        <w:tab w:val="left" w:pos="4560"/>
        <w:tab w:val="left" w:pos="4715"/>
      </w:tabs>
      <w:spacing w:before="60" w:after="60" w:line="400" w:lineRule="exact"/>
      <w:ind w:left="540" w:firstLine="20"/>
    </w:pPr>
    <w:rPr>
      <w:rFonts w:eastAsia="標楷體"/>
      <w:sz w:val="28"/>
      <w:szCs w:val="28"/>
    </w:rPr>
  </w:style>
  <w:style w:type="character" w:customStyle="1" w:styleId="a4">
    <w:name w:val="本文縮排 字元"/>
    <w:basedOn w:val="a0"/>
    <w:rPr>
      <w:rFonts w:ascii="Times New Roman" w:eastAsia="標楷體" w:hAnsi="Times New Roman" w:cs="Times New Roman"/>
      <w:sz w:val="28"/>
      <w:szCs w:val="28"/>
    </w:rPr>
  </w:style>
  <w:style w:type="paragraph" w:customStyle="1" w:styleId="HSR6">
    <w:name w:val="HSR.標題.6"/>
    <w:basedOn w:val="a"/>
    <w:pPr>
      <w:keepNext/>
      <w:spacing w:before="120" w:after="120"/>
    </w:pPr>
    <w:rPr>
      <w:rFonts w:eastAsia="標楷體"/>
      <w:kern w:val="0"/>
    </w:rPr>
  </w:style>
  <w:style w:type="paragraph" w:customStyle="1" w:styleId="HSR7">
    <w:name w:val="HSR.標題.7"/>
    <w:basedOn w:val="a"/>
    <w:pPr>
      <w:keepNext/>
      <w:numPr>
        <w:numId w:val="21"/>
      </w:numPr>
      <w:spacing w:before="120" w:after="120"/>
    </w:pPr>
    <w:rPr>
      <w:rFonts w:eastAsia="標楷體"/>
      <w:kern w:val="0"/>
    </w:rPr>
  </w:style>
  <w:style w:type="character" w:customStyle="1" w:styleId="10">
    <w:name w:val="標題 1 字元"/>
    <w:basedOn w:val="a0"/>
    <w:rPr>
      <w:rFonts w:ascii="Cambria" w:eastAsia="新細明體" w:hAnsi="Cambria" w:cs="Times New Roman"/>
      <w:b/>
      <w:bCs/>
      <w:kern w:val="3"/>
      <w:sz w:val="52"/>
      <w:szCs w:val="52"/>
    </w:rPr>
  </w:style>
  <w:style w:type="character" w:customStyle="1" w:styleId="20">
    <w:name w:val="標題 2 字元"/>
    <w:basedOn w:val="a0"/>
    <w:rPr>
      <w:rFonts w:ascii="Cambria" w:eastAsia="新細明體" w:hAnsi="Cambria" w:cs="Times New Roman"/>
      <w:b/>
      <w:bCs/>
      <w:sz w:val="48"/>
      <w:szCs w:val="48"/>
    </w:rPr>
  </w:style>
  <w:style w:type="character" w:customStyle="1" w:styleId="30">
    <w:name w:val="標題 3 字元"/>
    <w:basedOn w:val="a0"/>
    <w:rPr>
      <w:rFonts w:ascii="Cambria" w:eastAsia="新細明體" w:hAnsi="Cambria" w:cs="Times New Roman"/>
      <w:b/>
      <w:bCs/>
      <w:sz w:val="36"/>
      <w:szCs w:val="36"/>
    </w:rPr>
  </w:style>
  <w:style w:type="character" w:customStyle="1" w:styleId="40">
    <w:name w:val="標題 4 字元"/>
    <w:basedOn w:val="a0"/>
    <w:rPr>
      <w:rFonts w:ascii="Cambria" w:eastAsia="新細明體" w:hAnsi="Cambria" w:cs="Times New Roman"/>
      <w:sz w:val="36"/>
      <w:szCs w:val="36"/>
    </w:rPr>
  </w:style>
  <w:style w:type="paragraph" w:styleId="a5">
    <w:name w:val="List Paragraph"/>
    <w:basedOn w:val="a"/>
    <w:pPr>
      <w:ind w:left="480"/>
    </w:pPr>
  </w:style>
  <w:style w:type="paragraph" w:styleId="a6">
    <w:name w:val="header"/>
    <w:basedOn w:val="a"/>
    <w:pPr>
      <w:tabs>
        <w:tab w:val="center" w:pos="4153"/>
        <w:tab w:val="right" w:pos="8306"/>
      </w:tabs>
      <w:snapToGrid w:val="0"/>
    </w:pPr>
    <w:rPr>
      <w:sz w:val="20"/>
    </w:rPr>
  </w:style>
  <w:style w:type="character" w:customStyle="1" w:styleId="a7">
    <w:name w:val="頁首 字元"/>
    <w:basedOn w:val="a0"/>
    <w:rPr>
      <w:rFonts w:ascii="Times New Roman" w:eastAsia="新細明體" w:hAnsi="Times New Roman" w:cs="Times New Roman"/>
      <w:sz w:val="20"/>
      <w:szCs w:val="20"/>
    </w:rPr>
  </w:style>
  <w:style w:type="paragraph" w:styleId="a8">
    <w:name w:val="footer"/>
    <w:basedOn w:val="a"/>
    <w:pPr>
      <w:tabs>
        <w:tab w:val="center" w:pos="4153"/>
        <w:tab w:val="right" w:pos="8306"/>
      </w:tabs>
      <w:snapToGrid w:val="0"/>
    </w:pPr>
    <w:rPr>
      <w:sz w:val="20"/>
    </w:rPr>
  </w:style>
  <w:style w:type="character" w:customStyle="1" w:styleId="a9">
    <w:name w:val="頁尾 字元"/>
    <w:basedOn w:val="a0"/>
    <w:rPr>
      <w:rFonts w:ascii="Times New Roman" w:eastAsia="新細明體" w:hAnsi="Times New Roman" w:cs="Times New Roman"/>
      <w:sz w:val="20"/>
      <w:szCs w:val="20"/>
    </w:rPr>
  </w:style>
  <w:style w:type="paragraph" w:styleId="aa">
    <w:name w:val="Balloon Text"/>
    <w:basedOn w:val="a"/>
    <w:rPr>
      <w:rFonts w:ascii="Cambria" w:hAnsi="Cambria"/>
      <w:sz w:val="18"/>
      <w:szCs w:val="18"/>
    </w:rPr>
  </w:style>
  <w:style w:type="character" w:customStyle="1" w:styleId="ab">
    <w:name w:val="註解方塊文字 字元"/>
    <w:basedOn w:val="a0"/>
    <w:rPr>
      <w:rFonts w:ascii="Cambria" w:eastAsia="新細明體" w:hAnsi="Cambria" w:cs="Times New Roman"/>
      <w:sz w:val="18"/>
      <w:szCs w:val="18"/>
    </w:rPr>
  </w:style>
  <w:style w:type="numbering" w:customStyle="1" w:styleId="WWOutlineListStyle18">
    <w:name w:val="WW_OutlineListStyle_18"/>
    <w:basedOn w:val="a2"/>
    <w:pPr>
      <w:numPr>
        <w:numId w:val="2"/>
      </w:numPr>
    </w:pPr>
  </w:style>
  <w:style w:type="numbering" w:customStyle="1" w:styleId="WWOutlineListStyle17">
    <w:name w:val="WW_OutlineListStyle_17"/>
    <w:basedOn w:val="a2"/>
    <w:pPr>
      <w:numPr>
        <w:numId w:val="3"/>
      </w:numPr>
    </w:pPr>
  </w:style>
  <w:style w:type="numbering" w:customStyle="1" w:styleId="WWOutlineListStyle16">
    <w:name w:val="WW_OutlineListStyle_16"/>
    <w:basedOn w:val="a2"/>
    <w:pPr>
      <w:numPr>
        <w:numId w:val="4"/>
      </w:numPr>
    </w:pPr>
  </w:style>
  <w:style w:type="numbering" w:customStyle="1" w:styleId="WWOutlineListStyle15">
    <w:name w:val="WW_OutlineListStyle_15"/>
    <w:basedOn w:val="a2"/>
    <w:pPr>
      <w:numPr>
        <w:numId w:val="5"/>
      </w:numPr>
    </w:pPr>
  </w:style>
  <w:style w:type="numbering" w:customStyle="1" w:styleId="WWOutlineListStyle14">
    <w:name w:val="WW_OutlineListStyle_14"/>
    <w:basedOn w:val="a2"/>
    <w:pPr>
      <w:numPr>
        <w:numId w:val="6"/>
      </w:numPr>
    </w:pPr>
  </w:style>
  <w:style w:type="numbering" w:customStyle="1" w:styleId="WWOutlineListStyle13">
    <w:name w:val="WW_OutlineListStyle_13"/>
    <w:basedOn w:val="a2"/>
    <w:pPr>
      <w:numPr>
        <w:numId w:val="7"/>
      </w:numPr>
    </w:pPr>
  </w:style>
  <w:style w:type="numbering" w:customStyle="1" w:styleId="WWOutlineListStyle12">
    <w:name w:val="WW_OutlineListStyle_12"/>
    <w:basedOn w:val="a2"/>
    <w:pPr>
      <w:numPr>
        <w:numId w:val="8"/>
      </w:numPr>
    </w:pPr>
  </w:style>
  <w:style w:type="numbering" w:customStyle="1" w:styleId="WWOutlineListStyle11">
    <w:name w:val="WW_OutlineListStyle_11"/>
    <w:basedOn w:val="a2"/>
    <w:pPr>
      <w:numPr>
        <w:numId w:val="9"/>
      </w:numPr>
    </w:pPr>
  </w:style>
  <w:style w:type="numbering" w:customStyle="1" w:styleId="WWOutlineListStyle10">
    <w:name w:val="WW_OutlineListStyle_10"/>
    <w:basedOn w:val="a2"/>
    <w:pPr>
      <w:numPr>
        <w:numId w:val="10"/>
      </w:numPr>
    </w:pPr>
  </w:style>
  <w:style w:type="numbering" w:customStyle="1" w:styleId="WWOutlineListStyle9">
    <w:name w:val="WW_OutlineListStyle_9"/>
    <w:basedOn w:val="a2"/>
    <w:pPr>
      <w:numPr>
        <w:numId w:val="11"/>
      </w:numPr>
    </w:pPr>
  </w:style>
  <w:style w:type="numbering" w:customStyle="1" w:styleId="WWOutlineListStyle8">
    <w:name w:val="WW_OutlineListStyle_8"/>
    <w:basedOn w:val="a2"/>
    <w:pPr>
      <w:numPr>
        <w:numId w:val="12"/>
      </w:numPr>
    </w:pPr>
  </w:style>
  <w:style w:type="numbering" w:customStyle="1" w:styleId="WWOutlineListStyle7">
    <w:name w:val="WW_OutlineListStyle_7"/>
    <w:basedOn w:val="a2"/>
    <w:pPr>
      <w:numPr>
        <w:numId w:val="13"/>
      </w:numPr>
    </w:pPr>
  </w:style>
  <w:style w:type="numbering" w:customStyle="1" w:styleId="WWOutlineListStyle6">
    <w:name w:val="WW_OutlineListStyle_6"/>
    <w:basedOn w:val="a2"/>
    <w:pPr>
      <w:numPr>
        <w:numId w:val="14"/>
      </w:numPr>
    </w:pPr>
  </w:style>
  <w:style w:type="numbering" w:customStyle="1" w:styleId="WWOutlineListStyle5">
    <w:name w:val="WW_OutlineListStyle_5"/>
    <w:basedOn w:val="a2"/>
    <w:pPr>
      <w:numPr>
        <w:numId w:val="15"/>
      </w:numPr>
    </w:pPr>
  </w:style>
  <w:style w:type="numbering" w:customStyle="1" w:styleId="WWOutlineListStyle4">
    <w:name w:val="WW_OutlineListStyle_4"/>
    <w:basedOn w:val="a2"/>
    <w:pPr>
      <w:numPr>
        <w:numId w:val="16"/>
      </w:numPr>
    </w:pPr>
  </w:style>
  <w:style w:type="numbering" w:customStyle="1" w:styleId="WWOutlineListStyle3">
    <w:name w:val="WW_OutlineListStyle_3"/>
    <w:basedOn w:val="a2"/>
    <w:pPr>
      <w:numPr>
        <w:numId w:val="17"/>
      </w:numPr>
    </w:pPr>
  </w:style>
  <w:style w:type="numbering" w:customStyle="1" w:styleId="WWOutlineListStyle2">
    <w:name w:val="WW_OutlineListStyle_2"/>
    <w:basedOn w:val="a2"/>
    <w:pPr>
      <w:numPr>
        <w:numId w:val="18"/>
      </w:numPr>
    </w:pPr>
  </w:style>
  <w:style w:type="numbering" w:customStyle="1" w:styleId="WWOutlineListStyle1">
    <w:name w:val="WW_OutlineListStyle_1"/>
    <w:basedOn w:val="a2"/>
    <w:pPr>
      <w:numPr>
        <w:numId w:val="19"/>
      </w:numPr>
    </w:pPr>
  </w:style>
  <w:style w:type="numbering" w:customStyle="1" w:styleId="WWOutlineListStyle">
    <w:name w:val="WW_OutlineListStyle"/>
    <w:basedOn w:val="a2"/>
    <w:pPr>
      <w:numPr>
        <w:numId w:val="20"/>
      </w:numPr>
    </w:pPr>
  </w:style>
  <w:style w:type="numbering" w:customStyle="1" w:styleId="LFO1">
    <w:name w:val="LFO1"/>
    <w:basedOn w:val="a2"/>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485</Words>
  <Characters>2765</Characters>
  <Application>Microsoft Office Word</Application>
  <DocSecurity>0</DocSecurity>
  <Lines>23</Lines>
  <Paragraphs>6</Paragraphs>
  <ScaleCrop>false</ScaleCrop>
  <Company/>
  <LinksUpToDate>false</LinksUpToDate>
  <CharactersWithSpaces>3244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tp</dc:creator>
  <cp:lastModifiedBy>施右容</cp:lastModifiedBy>
  <cp:revision>2</cp:revision>
  <cp:lastPrinted>2019-10-14T05:15:00Z</cp:lastPrinted>
  <dcterms:created xsi:type="dcterms:W3CDTF">2019-11-29T03:44:00Z</dcterms:created>
  <dcterms:modified xsi:type="dcterms:W3CDTF">2019-11-29T03:44:00Z</dcterms:modified>
</cp:coreProperties>
</file>