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A35" w:rsidRPr="0077342A" w:rsidRDefault="00AF5B41" w:rsidP="0077342A">
      <w:pPr>
        <w:jc w:val="center"/>
        <w:rPr>
          <w:rFonts w:ascii="標楷體" w:eastAsia="標楷體" w:hAnsi="標楷體"/>
        </w:rPr>
      </w:pPr>
      <w:bookmarkStart w:id="0" w:name="_GoBack"/>
      <w:r w:rsidRPr="0077342A">
        <w:rPr>
          <w:rFonts w:ascii="標楷體" w:eastAsia="標楷體" w:hAnsi="標楷體" w:hint="eastAsia"/>
        </w:rPr>
        <w:t>臺中市政府104年</w:t>
      </w:r>
      <w:r w:rsidR="0077342A" w:rsidRPr="0077342A">
        <w:rPr>
          <w:rFonts w:ascii="標楷體" w:eastAsia="標楷體" w:hAnsi="標楷體" w:hint="eastAsia"/>
        </w:rPr>
        <w:t>12月</w:t>
      </w:r>
      <w:r w:rsidR="007621D3">
        <w:rPr>
          <w:rFonts w:ascii="標楷體" w:eastAsia="標楷體" w:hAnsi="標楷體" w:hint="eastAsia"/>
        </w:rPr>
        <w:t>2</w:t>
      </w:r>
      <w:r w:rsidR="004F546A">
        <w:rPr>
          <w:rFonts w:ascii="標楷體" w:eastAsia="標楷體" w:hAnsi="標楷體" w:hint="eastAsia"/>
        </w:rPr>
        <w:t>2</w:t>
      </w:r>
      <w:r w:rsidR="0077342A" w:rsidRPr="0077342A">
        <w:rPr>
          <w:rFonts w:ascii="標楷體" w:eastAsia="標楷體" w:hAnsi="標楷體" w:hint="eastAsia"/>
        </w:rPr>
        <w:t>日府授衛心字第1040282535</w:t>
      </w:r>
      <w:r w:rsidR="007621D3">
        <w:rPr>
          <w:rFonts w:ascii="標楷體" w:eastAsia="標楷體" w:hAnsi="標楷體"/>
        </w:rPr>
        <w:t>1</w:t>
      </w:r>
      <w:r w:rsidR="0077342A" w:rsidRPr="0077342A">
        <w:rPr>
          <w:rFonts w:ascii="標楷體" w:eastAsia="標楷體" w:hAnsi="標楷體" w:hint="eastAsia"/>
        </w:rPr>
        <w:t>號公告 附件</w:t>
      </w:r>
    </w:p>
    <w:tbl>
      <w:tblPr>
        <w:tblStyle w:val="a3"/>
        <w:tblW w:w="8641" w:type="dxa"/>
        <w:tblLook w:val="04A0" w:firstRow="1" w:lastRow="0" w:firstColumn="1" w:lastColumn="0" w:noHBand="0" w:noVBand="1"/>
      </w:tblPr>
      <w:tblGrid>
        <w:gridCol w:w="1980"/>
        <w:gridCol w:w="4819"/>
        <w:gridCol w:w="1842"/>
      </w:tblGrid>
      <w:tr w:rsidR="0077342A" w:rsidRPr="0077342A" w:rsidTr="0077342A">
        <w:tc>
          <w:tcPr>
            <w:tcW w:w="1980" w:type="dxa"/>
          </w:tcPr>
          <w:bookmarkEnd w:id="0"/>
          <w:p w:rsidR="0077342A" w:rsidRPr="0077342A" w:rsidRDefault="0077342A" w:rsidP="0077342A">
            <w:pPr>
              <w:jc w:val="center"/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4819" w:type="dxa"/>
          </w:tcPr>
          <w:p w:rsidR="0077342A" w:rsidRPr="0077342A" w:rsidRDefault="0077342A" w:rsidP="0077342A">
            <w:pPr>
              <w:jc w:val="center"/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授權執行事項</w:t>
            </w:r>
          </w:p>
        </w:tc>
        <w:tc>
          <w:tcPr>
            <w:tcW w:w="1842" w:type="dxa"/>
          </w:tcPr>
          <w:p w:rsidR="0077342A" w:rsidRPr="0077342A" w:rsidRDefault="0077342A" w:rsidP="0077342A">
            <w:pPr>
              <w:jc w:val="center"/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執行機關</w:t>
            </w:r>
          </w:p>
        </w:tc>
      </w:tr>
      <w:tr w:rsidR="0077342A" w:rsidRPr="0077342A" w:rsidTr="0077342A">
        <w:tc>
          <w:tcPr>
            <w:tcW w:w="1980" w:type="dxa"/>
          </w:tcPr>
          <w:p w:rsidR="0077342A" w:rsidRPr="0077342A" w:rsidRDefault="0077342A">
            <w:pPr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家庭暴力防治法第55條</w:t>
            </w:r>
          </w:p>
        </w:tc>
        <w:tc>
          <w:tcPr>
            <w:tcW w:w="4819" w:type="dxa"/>
          </w:tcPr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加害人處遇計畫之執行機關（構）得為下列事項：</w:t>
            </w:r>
          </w:p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58" w:hangingChars="191" w:hanging="458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一、將加害人接受處遇情事告知司法機關、被害人及其辯護人。</w:t>
            </w:r>
          </w:p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二、調閱加害人在其他機構之處遇資料。</w:t>
            </w:r>
          </w:p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" w:left="458" w:hangingChars="190" w:hanging="456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三、將加害人之資料告知司法機關、監獄監務委員會、家庭暴力防治中心及其他有關機構。</w:t>
            </w:r>
          </w:p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加害人有不接受處遇計畫、接受時數不足或不遵守處遇計畫內容及恐嚇、施暴等行為時，加害人處遇計畫之執行機關（構）應告知直轄市、縣（市）主管機關；必要時並得通知直轄市、縣（市）主管機關協調處理。</w:t>
            </w:r>
          </w:p>
          <w:p w:rsidR="0077342A" w:rsidRPr="0077342A" w:rsidRDefault="0077342A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:rsidR="0077342A" w:rsidRPr="0077342A" w:rsidRDefault="0077342A">
            <w:pPr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77342A" w:rsidRPr="0077342A" w:rsidTr="0077342A">
        <w:tc>
          <w:tcPr>
            <w:tcW w:w="1980" w:type="dxa"/>
          </w:tcPr>
          <w:p w:rsidR="0077342A" w:rsidRPr="0077342A" w:rsidRDefault="0077342A" w:rsidP="0077342A">
            <w:pPr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家庭暴力防治法第61條之1</w:t>
            </w:r>
          </w:p>
        </w:tc>
        <w:tc>
          <w:tcPr>
            <w:tcW w:w="4819" w:type="dxa"/>
          </w:tcPr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廣播、電視事業違反第五十條之一規定者，由目的事業主管機關處新臺幣三萬元以上十五萬元以下罰鍰，並命其限期改正；屆期未改正者，得按次處罰。</w:t>
            </w:r>
          </w:p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 w:cs="細明體"/>
                <w:kern w:val="0"/>
                <w:szCs w:val="24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前項以外之宣傳品、出版品、網際網路或其他媒體之負責人違反第五十條之一規定者，由目的事業主管機關處新臺幣三萬元以上十五萬元以下罰鍰，並得沒入第五十條之一規定之物品、命其限期移除內容、下架或其他必要之處置；屆期不履行者，得按次處罰至履行為止。但被害人死亡，經目的事業主管機關權衡社會公益，認有報導之必要者，不罰。</w:t>
            </w:r>
          </w:p>
          <w:p w:rsidR="0077342A" w:rsidRPr="0077342A" w:rsidRDefault="0077342A" w:rsidP="007734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cs="細明體" w:hint="eastAsia"/>
                <w:kern w:val="0"/>
                <w:szCs w:val="24"/>
              </w:rPr>
              <w:t>宣傳品、出版品、網際網路或其他媒體無負責人或負責人對行為人之行為</w:t>
            </w:r>
            <w:r w:rsidRPr="0077342A">
              <w:rPr>
                <w:rFonts w:ascii="標楷體" w:eastAsia="標楷體" w:hAnsi="標楷體" w:cs="新細明體" w:hint="eastAsia"/>
                <w:kern w:val="0"/>
                <w:szCs w:val="24"/>
              </w:rPr>
              <w:t>不具監督關係者，第二項所定之罰鍰，處罰行為人。</w:t>
            </w:r>
          </w:p>
        </w:tc>
        <w:tc>
          <w:tcPr>
            <w:tcW w:w="1842" w:type="dxa"/>
          </w:tcPr>
          <w:p w:rsidR="0077342A" w:rsidRPr="0077342A" w:rsidRDefault="0077342A">
            <w:pPr>
              <w:rPr>
                <w:rFonts w:ascii="標楷體" w:eastAsia="標楷體" w:hAnsi="標楷體"/>
              </w:rPr>
            </w:pPr>
            <w:r w:rsidRPr="0077342A">
              <w:rPr>
                <w:rFonts w:ascii="標楷體" w:eastAsia="標楷體" w:hAnsi="標楷體" w:hint="eastAsia"/>
              </w:rPr>
              <w:t>各目的事業主管機關(社會局、新聞局、衛生局）</w:t>
            </w:r>
          </w:p>
        </w:tc>
      </w:tr>
    </w:tbl>
    <w:p w:rsidR="0077342A" w:rsidRDefault="0077342A"/>
    <w:sectPr w:rsidR="0077342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7FC" w:rsidRDefault="00A027FC" w:rsidP="007621D3">
      <w:r>
        <w:separator/>
      </w:r>
    </w:p>
  </w:endnote>
  <w:endnote w:type="continuationSeparator" w:id="0">
    <w:p w:rsidR="00A027FC" w:rsidRDefault="00A027FC" w:rsidP="00762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7FC" w:rsidRDefault="00A027FC" w:rsidP="007621D3">
      <w:r>
        <w:separator/>
      </w:r>
    </w:p>
  </w:footnote>
  <w:footnote w:type="continuationSeparator" w:id="0">
    <w:p w:rsidR="00A027FC" w:rsidRDefault="00A027FC" w:rsidP="007621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41"/>
    <w:rsid w:val="004F546A"/>
    <w:rsid w:val="007621D3"/>
    <w:rsid w:val="0077342A"/>
    <w:rsid w:val="007A75B8"/>
    <w:rsid w:val="008D1A35"/>
    <w:rsid w:val="00A027FC"/>
    <w:rsid w:val="00AB5E2A"/>
    <w:rsid w:val="00AF5B41"/>
    <w:rsid w:val="00F6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A3750E-7DC3-4538-A9DD-5739D152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3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21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21D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21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21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胡智強</dc:creator>
  <cp:keywords/>
  <dc:description/>
  <cp:lastModifiedBy>劉蕙菁</cp:lastModifiedBy>
  <cp:revision>2</cp:revision>
  <dcterms:created xsi:type="dcterms:W3CDTF">2015-12-24T11:03:00Z</dcterms:created>
  <dcterms:modified xsi:type="dcterms:W3CDTF">2015-12-24T11:03:00Z</dcterms:modified>
</cp:coreProperties>
</file>