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78C" w:rsidRPr="004E1B7B" w:rsidRDefault="00F9578C" w:rsidP="00F9578C">
      <w:pPr>
        <w:pStyle w:val="HTML"/>
        <w:spacing w:line="460" w:lineRule="exact"/>
        <w:rPr>
          <w:rFonts w:ascii="標楷體" w:eastAsia="標楷體" w:hAnsi="標楷體"/>
          <w:sz w:val="40"/>
          <w:szCs w:val="40"/>
        </w:rPr>
      </w:pPr>
      <w:bookmarkStart w:id="0" w:name="_GoBack"/>
      <w:r w:rsidRPr="004E1B7B">
        <w:rPr>
          <w:rFonts w:ascii="標楷體" w:eastAsia="標楷體" w:hAnsi="標楷體" w:hint="eastAsia"/>
          <w:sz w:val="40"/>
          <w:szCs w:val="40"/>
        </w:rPr>
        <w:t>臺中市社會福利財團法人會計處理及財務報告編製準則</w:t>
      </w:r>
      <w:r w:rsidRPr="004E1B7B">
        <w:rPr>
          <w:rFonts w:ascii="標楷體" w:eastAsia="標楷體" w:hAnsi="標楷體" w:hint="eastAsia"/>
          <w:bCs/>
          <w:sz w:val="40"/>
          <w:szCs w:val="40"/>
        </w:rPr>
        <w:t>草案</w:t>
      </w:r>
      <w:bookmarkEnd w:id="0"/>
      <w:r w:rsidRPr="004E1B7B">
        <w:rPr>
          <w:rFonts w:ascii="標楷體" w:eastAsia="標楷體" w:hAnsi="標楷體" w:hint="eastAsia"/>
          <w:bCs/>
          <w:sz w:val="40"/>
          <w:szCs w:val="40"/>
        </w:rPr>
        <w:t>總說明</w:t>
      </w:r>
    </w:p>
    <w:p w:rsidR="00F9578C" w:rsidRPr="004E1B7B" w:rsidRDefault="00F9578C" w:rsidP="00F9578C">
      <w:pPr>
        <w:autoSpaceDE w:val="0"/>
        <w:autoSpaceDN w:val="0"/>
        <w:adjustRightInd w:val="0"/>
        <w:spacing w:line="460" w:lineRule="exact"/>
        <w:ind w:firstLineChars="200" w:firstLine="560"/>
        <w:rPr>
          <w:rFonts w:ascii="DFKaiShu-SB-Estd-BF" w:eastAsia="DFKaiShu-SB-Estd-BF" w:cs="DFKaiShu-SB-Estd-BF"/>
          <w:kern w:val="0"/>
          <w:sz w:val="25"/>
          <w:szCs w:val="25"/>
        </w:rPr>
      </w:pPr>
      <w:r w:rsidRPr="004E1B7B">
        <w:rPr>
          <w:rFonts w:ascii="標楷體" w:eastAsia="標楷體" w:hAnsi="標楷體" w:hint="eastAsia"/>
          <w:sz w:val="28"/>
          <w:szCs w:val="28"/>
        </w:rPr>
        <w:t>財團法人法業經中華民國一百零七年八月一日總統華總一義字第</w:t>
      </w:r>
      <w:r w:rsidRPr="004E1B7B">
        <w:rPr>
          <w:rFonts w:ascii="標楷體" w:eastAsia="標楷體" w:hAnsi="標楷體" w:cs="新細明體" w:hint="eastAsia"/>
          <w:kern w:val="0"/>
          <w:sz w:val="28"/>
          <w:szCs w:val="28"/>
        </w:rPr>
        <w:t>一○七○○八○八八一</w:t>
      </w:r>
      <w:r w:rsidRPr="004E1B7B">
        <w:rPr>
          <w:rFonts w:ascii="標楷體" w:eastAsia="標楷體" w:hAnsi="標楷體" w:hint="eastAsia"/>
          <w:sz w:val="28"/>
          <w:szCs w:val="28"/>
        </w:rPr>
        <w:t>號令公布，並於公布後六個月實施</w:t>
      </w:r>
      <w:r w:rsidRPr="004E1B7B">
        <w:rPr>
          <w:rFonts w:ascii="新細明體" w:hAnsi="新細明體" w:hint="eastAsia"/>
          <w:sz w:val="28"/>
          <w:szCs w:val="28"/>
        </w:rPr>
        <w:t>。</w:t>
      </w:r>
      <w:r w:rsidRPr="004E1B7B">
        <w:rPr>
          <w:rFonts w:ascii="標楷體" w:eastAsia="標楷體" w:hAnsi="標楷體" w:hint="eastAsia"/>
          <w:sz w:val="28"/>
          <w:szCs w:val="28"/>
        </w:rPr>
        <w:t>依據該法第二十四條第四項授權主管機關訂定財團法人會計處理及財務報告編製準則。為使本市社會福利財團法人處理會計事務及編製財務報告時有所依循，以提升會計品質及建構財務資訊透明，爰擬</w:t>
      </w:r>
      <w:r w:rsidR="0067464C" w:rsidRPr="004E1B7B">
        <w:rPr>
          <w:rFonts w:ascii="標楷體" w:eastAsia="標楷體" w:hAnsi="標楷體" w:hint="eastAsia"/>
          <w:sz w:val="28"/>
          <w:szCs w:val="28"/>
        </w:rPr>
        <w:t>定</w:t>
      </w:r>
      <w:r w:rsidRPr="004E1B7B">
        <w:rPr>
          <w:rFonts w:ascii="標楷體" w:eastAsia="標楷體" w:hAnsi="標楷體" w:hint="eastAsia"/>
          <w:sz w:val="28"/>
          <w:szCs w:val="28"/>
        </w:rPr>
        <w:t>臺中市社會福利財團法人會計處理及財務報告編製準則草案計</w:t>
      </w:r>
      <w:r w:rsidR="004E73DE" w:rsidRPr="004E1B7B">
        <w:rPr>
          <w:rFonts w:ascii="標楷體" w:eastAsia="標楷體" w:hAnsi="標楷體" w:hint="eastAsia"/>
          <w:sz w:val="28"/>
          <w:szCs w:val="28"/>
        </w:rPr>
        <w:t>四章</w:t>
      </w:r>
      <w:r w:rsidR="0059676E" w:rsidRPr="004E1B7B">
        <w:rPr>
          <w:rFonts w:ascii="標楷體" w:eastAsia="標楷體" w:hAnsi="標楷體" w:hint="eastAsia"/>
          <w:sz w:val="28"/>
          <w:szCs w:val="28"/>
        </w:rPr>
        <w:t>分別為總則、會計處理、財務報告編制及附則</w:t>
      </w:r>
      <w:r w:rsidR="004E73DE" w:rsidRPr="004E1B7B">
        <w:rPr>
          <w:rFonts w:ascii="標楷體" w:eastAsia="標楷體" w:hAnsi="標楷體" w:hint="eastAsia"/>
          <w:sz w:val="28"/>
          <w:szCs w:val="28"/>
        </w:rPr>
        <w:t>、</w:t>
      </w:r>
      <w:r w:rsidR="0059676E" w:rsidRPr="004E1B7B">
        <w:rPr>
          <w:rFonts w:ascii="標楷體" w:eastAsia="標楷體" w:hAnsi="標楷體" w:hint="eastAsia"/>
          <w:sz w:val="28"/>
          <w:szCs w:val="28"/>
        </w:rPr>
        <w:t>條文共</w:t>
      </w:r>
      <w:r w:rsidRPr="004E1B7B">
        <w:rPr>
          <w:rFonts w:ascii="標楷體" w:eastAsia="標楷體" w:hAnsi="標楷體" w:hint="eastAsia"/>
          <w:sz w:val="28"/>
          <w:szCs w:val="28"/>
        </w:rPr>
        <w:t>四十</w:t>
      </w:r>
      <w:r w:rsidR="00766B8B" w:rsidRPr="004E1B7B">
        <w:rPr>
          <w:rFonts w:ascii="標楷體" w:eastAsia="標楷體" w:hAnsi="標楷體" w:hint="eastAsia"/>
          <w:sz w:val="28"/>
          <w:szCs w:val="28"/>
        </w:rPr>
        <w:t>三</w:t>
      </w:r>
      <w:r w:rsidRPr="004E1B7B">
        <w:rPr>
          <w:rFonts w:ascii="標楷體" w:eastAsia="標楷體" w:hAnsi="標楷體" w:hint="eastAsia"/>
          <w:sz w:val="28"/>
          <w:szCs w:val="28"/>
        </w:rPr>
        <w:t>條，</w:t>
      </w:r>
      <w:r w:rsidRPr="004E1B7B">
        <w:rPr>
          <w:rFonts w:ascii="標楷體" w:eastAsia="標楷體" w:hAnsi="標楷體" w:hint="eastAsia"/>
          <w:snapToGrid w:val="0"/>
          <w:kern w:val="0"/>
          <w:sz w:val="28"/>
          <w:szCs w:val="28"/>
        </w:rPr>
        <w:t>其要點如下</w:t>
      </w:r>
      <w:r w:rsidRPr="004E1B7B">
        <w:rPr>
          <w:rFonts w:ascii="標楷體" w:eastAsia="標楷體" w:hAnsi="標楷體" w:cs="Arial Unicode MS" w:hint="eastAsia"/>
          <w:sz w:val="28"/>
          <w:szCs w:val="28"/>
        </w:rPr>
        <w:t>：</w:t>
      </w:r>
      <w:r w:rsidRPr="004E1B7B">
        <w:rPr>
          <w:rFonts w:ascii="標楷體" w:eastAsia="標楷體" w:hAnsi="標楷體" w:hint="eastAsia"/>
        </w:rPr>
        <w:t xml:space="preserve"> </w:t>
      </w:r>
    </w:p>
    <w:p w:rsidR="00F9578C" w:rsidRPr="004E1B7B" w:rsidRDefault="004E1B7B" w:rsidP="004E1B7B">
      <w:pPr>
        <w:spacing w:line="460" w:lineRule="exact"/>
        <w:rPr>
          <w:rFonts w:ascii="標楷體" w:eastAsia="標楷體" w:hAnsi="標楷體" w:cs="Arial"/>
          <w:sz w:val="28"/>
          <w:szCs w:val="28"/>
        </w:rPr>
      </w:pPr>
      <w:r>
        <w:rPr>
          <w:rFonts w:ascii="標楷體" w:eastAsia="標楷體" w:hAnsi="標楷體" w:cs="Arial" w:hint="eastAsia"/>
          <w:sz w:val="28"/>
          <w:szCs w:val="28"/>
        </w:rPr>
        <w:t>一、</w:t>
      </w:r>
      <w:r w:rsidR="00F9578C" w:rsidRPr="004E1B7B">
        <w:rPr>
          <w:rFonts w:ascii="標楷體" w:eastAsia="標楷體" w:hAnsi="標楷體" w:cs="Arial" w:hint="eastAsia"/>
          <w:sz w:val="28"/>
          <w:szCs w:val="28"/>
        </w:rPr>
        <w:t>訂定依據。（第一條）</w:t>
      </w:r>
    </w:p>
    <w:p w:rsidR="00F9578C" w:rsidRPr="004E1B7B" w:rsidRDefault="004E1B7B" w:rsidP="004E1B7B">
      <w:pPr>
        <w:spacing w:line="460" w:lineRule="exact"/>
        <w:rPr>
          <w:rFonts w:ascii="標楷體" w:eastAsia="標楷體" w:hAnsi="標楷體" w:cs="Arial"/>
          <w:sz w:val="28"/>
          <w:szCs w:val="28"/>
        </w:rPr>
      </w:pPr>
      <w:r>
        <w:rPr>
          <w:rFonts w:ascii="標楷體" w:eastAsia="標楷體" w:hAnsi="標楷體" w:cs="標楷體"/>
          <w:sz w:val="28"/>
          <w:szCs w:val="28"/>
        </w:rPr>
        <w:t>二、</w:t>
      </w:r>
      <w:r w:rsidR="00F9578C" w:rsidRPr="004E1B7B">
        <w:rPr>
          <w:rFonts w:ascii="標楷體" w:eastAsia="標楷體" w:hAnsi="標楷體" w:cs="標楷體"/>
          <w:sz w:val="28"/>
          <w:szCs w:val="28"/>
        </w:rPr>
        <w:t>本</w:t>
      </w:r>
      <w:r w:rsidR="002A0379" w:rsidRPr="004E1B7B">
        <w:rPr>
          <w:rFonts w:ascii="標楷體" w:eastAsia="標楷體" w:hAnsi="標楷體" w:cs="標楷體" w:hint="eastAsia"/>
          <w:sz w:val="28"/>
          <w:szCs w:val="28"/>
        </w:rPr>
        <w:t>準則</w:t>
      </w:r>
      <w:r w:rsidR="00F9578C" w:rsidRPr="004E1B7B">
        <w:rPr>
          <w:rFonts w:ascii="標楷體" w:eastAsia="標楷體" w:hAnsi="標楷體" w:cs="標楷體"/>
          <w:sz w:val="28"/>
          <w:szCs w:val="28"/>
        </w:rPr>
        <w:t>之主管機關。（第二條)</w:t>
      </w:r>
    </w:p>
    <w:p w:rsidR="00F9578C" w:rsidRPr="004E1B7B" w:rsidRDefault="004E1B7B" w:rsidP="004E1B7B">
      <w:pPr>
        <w:spacing w:line="460" w:lineRule="exact"/>
        <w:ind w:left="420" w:hangingChars="150" w:hanging="420"/>
        <w:rPr>
          <w:rFonts w:ascii="標楷體" w:eastAsia="標楷體" w:hAnsi="標楷體" w:cs="標楷體"/>
          <w:sz w:val="28"/>
          <w:szCs w:val="28"/>
        </w:rPr>
      </w:pPr>
      <w:r>
        <w:rPr>
          <w:rFonts w:ascii="標楷體" w:eastAsia="標楷體" w:hAnsi="標楷體" w:cs="標楷體"/>
          <w:sz w:val="28"/>
          <w:szCs w:val="28"/>
        </w:rPr>
        <w:t>三、</w:t>
      </w:r>
      <w:r w:rsidR="00F9578C" w:rsidRPr="004E1B7B">
        <w:rPr>
          <w:rFonts w:ascii="標楷體" w:eastAsia="標楷體" w:hAnsi="標楷體" w:cs="標楷體" w:hint="eastAsia"/>
          <w:sz w:val="28"/>
          <w:szCs w:val="28"/>
        </w:rPr>
        <w:t>規範</w:t>
      </w:r>
      <w:r w:rsidR="00F9578C" w:rsidRPr="004E1B7B">
        <w:rPr>
          <w:rFonts w:ascii="標楷體" w:eastAsia="標楷體" w:hAnsi="標楷體" w:cs="標楷體"/>
          <w:sz w:val="28"/>
          <w:szCs w:val="28"/>
        </w:rPr>
        <w:t>財團法人</w:t>
      </w:r>
      <w:r w:rsidR="00F9578C" w:rsidRPr="004E1B7B">
        <w:rPr>
          <w:rFonts w:ascii="標楷體" w:eastAsia="標楷體" w:hAnsi="標楷體" w:cs="標楷體" w:hint="eastAsia"/>
          <w:sz w:val="28"/>
          <w:szCs w:val="28"/>
        </w:rPr>
        <w:t>會計處理及財務報告編製應依循之準則及相關法規。（第三條)</w:t>
      </w:r>
    </w:p>
    <w:p w:rsidR="00F9578C" w:rsidRPr="004E1B7B" w:rsidRDefault="004E1B7B" w:rsidP="004E1B7B">
      <w:pPr>
        <w:spacing w:line="460" w:lineRule="exact"/>
        <w:rPr>
          <w:rFonts w:ascii="標楷體" w:eastAsia="標楷體" w:hAnsi="標楷體" w:cs="Arial"/>
          <w:sz w:val="28"/>
          <w:szCs w:val="28"/>
        </w:rPr>
      </w:pPr>
      <w:r>
        <w:rPr>
          <w:rFonts w:ascii="標楷體" w:eastAsia="標楷體" w:hAnsi="標楷體"/>
          <w:sz w:val="28"/>
          <w:szCs w:val="28"/>
        </w:rPr>
        <w:t>四、</w:t>
      </w:r>
      <w:r w:rsidR="00F9578C" w:rsidRPr="004E1B7B">
        <w:rPr>
          <w:rFonts w:ascii="標楷體" w:eastAsia="標楷體" w:hAnsi="標楷體" w:hint="eastAsia"/>
          <w:sz w:val="28"/>
          <w:szCs w:val="28"/>
        </w:rPr>
        <w:t>訂定本市社會福利財團法人會計之記帳本位幣</w:t>
      </w:r>
      <w:r w:rsidR="00F9578C" w:rsidRPr="004E1B7B">
        <w:rPr>
          <w:rFonts w:ascii="標楷體" w:eastAsia="標楷體" w:hAnsi="標楷體" w:hint="eastAsia"/>
          <w:snapToGrid w:val="0"/>
          <w:kern w:val="0"/>
          <w:sz w:val="28"/>
          <w:szCs w:val="28"/>
        </w:rPr>
        <w:t>。（第四條)</w:t>
      </w:r>
    </w:p>
    <w:p w:rsidR="00F9578C" w:rsidRPr="004E1B7B" w:rsidRDefault="004E1B7B" w:rsidP="004E1B7B">
      <w:pPr>
        <w:spacing w:line="460" w:lineRule="exact"/>
        <w:ind w:left="560" w:hangingChars="200" w:hanging="560"/>
        <w:rPr>
          <w:rFonts w:ascii="標楷體" w:eastAsia="標楷體" w:hAnsi="標楷體" w:cs="Arial"/>
          <w:sz w:val="28"/>
          <w:szCs w:val="28"/>
        </w:rPr>
      </w:pPr>
      <w:r>
        <w:rPr>
          <w:rFonts w:ascii="標楷體" w:eastAsia="標楷體" w:hAnsi="標楷體"/>
          <w:sz w:val="28"/>
          <w:szCs w:val="28"/>
        </w:rPr>
        <w:t>五、</w:t>
      </w:r>
      <w:r w:rsidR="00F9578C" w:rsidRPr="004E1B7B">
        <w:rPr>
          <w:rFonts w:ascii="標楷體" w:eastAsia="標楷體" w:hAnsi="標楷體" w:hint="eastAsia"/>
          <w:sz w:val="28"/>
          <w:szCs w:val="28"/>
        </w:rPr>
        <w:t>本市社會福利財團法人應建立會計制度，並說明會計制度之主要內容。(第五條)</w:t>
      </w:r>
    </w:p>
    <w:p w:rsidR="00F9578C" w:rsidRPr="004E1B7B" w:rsidRDefault="004E1B7B" w:rsidP="004E1B7B">
      <w:pPr>
        <w:spacing w:line="460" w:lineRule="exact"/>
        <w:ind w:left="560" w:hangingChars="200" w:hanging="560"/>
        <w:rPr>
          <w:rFonts w:ascii="標楷體" w:eastAsia="標楷體" w:hAnsi="標楷體" w:cs="Arial"/>
          <w:sz w:val="28"/>
          <w:szCs w:val="28"/>
        </w:rPr>
      </w:pPr>
      <w:r>
        <w:rPr>
          <w:rFonts w:ascii="標楷體" w:eastAsia="標楷體" w:hAnsi="標楷體"/>
          <w:sz w:val="28"/>
          <w:szCs w:val="28"/>
        </w:rPr>
        <w:t>六、</w:t>
      </w:r>
      <w:r w:rsidR="00F9578C" w:rsidRPr="004E1B7B">
        <w:rPr>
          <w:rFonts w:ascii="標楷體" w:eastAsia="標楷體" w:hAnsi="標楷體" w:hint="eastAsia"/>
          <w:sz w:val="28"/>
          <w:szCs w:val="28"/>
        </w:rPr>
        <w:t>會計憑證之種類、定義及應記載事項，並明定會計憑證應經財團法人董事長或其授權人及主辦會計等相關人員簽名或蓋章。（第六條至第九條）</w:t>
      </w:r>
    </w:p>
    <w:p w:rsidR="00F9578C" w:rsidRPr="004E1B7B" w:rsidRDefault="004E1B7B" w:rsidP="004E1B7B">
      <w:pPr>
        <w:spacing w:line="460" w:lineRule="exact"/>
        <w:rPr>
          <w:rFonts w:ascii="標楷體" w:eastAsia="標楷體" w:hAnsi="標楷體" w:cs="Arial"/>
          <w:sz w:val="28"/>
          <w:szCs w:val="28"/>
        </w:rPr>
      </w:pPr>
      <w:r>
        <w:rPr>
          <w:rFonts w:ascii="標楷體" w:eastAsia="標楷體" w:hAnsi="標楷體"/>
          <w:sz w:val="28"/>
          <w:szCs w:val="28"/>
        </w:rPr>
        <w:t>七、</w:t>
      </w:r>
      <w:r w:rsidR="00F9578C" w:rsidRPr="004E1B7B">
        <w:rPr>
          <w:rFonts w:ascii="標楷體" w:eastAsia="標楷體" w:hAnsi="標楷體" w:hint="eastAsia"/>
          <w:sz w:val="28"/>
          <w:szCs w:val="28"/>
        </w:rPr>
        <w:t>會計處理之程序原則。（第十條）</w:t>
      </w:r>
    </w:p>
    <w:p w:rsidR="00F9578C" w:rsidRPr="004E1B7B" w:rsidRDefault="004E1B7B" w:rsidP="004E1B7B">
      <w:pPr>
        <w:spacing w:line="460" w:lineRule="exact"/>
        <w:rPr>
          <w:rFonts w:ascii="標楷體" w:eastAsia="標楷體" w:hAnsi="標楷體" w:cs="Arial"/>
          <w:sz w:val="28"/>
          <w:szCs w:val="28"/>
        </w:rPr>
      </w:pPr>
      <w:r>
        <w:rPr>
          <w:rFonts w:ascii="標楷體" w:eastAsia="標楷體" w:hAnsi="標楷體"/>
          <w:sz w:val="28"/>
          <w:szCs w:val="28"/>
        </w:rPr>
        <w:t>八、</w:t>
      </w:r>
      <w:r w:rsidR="00F9578C" w:rsidRPr="004E1B7B">
        <w:rPr>
          <w:rFonts w:ascii="標楷體" w:eastAsia="標楷體" w:hAnsi="標楷體" w:hint="eastAsia"/>
          <w:sz w:val="28"/>
          <w:szCs w:val="28"/>
        </w:rPr>
        <w:t>會計憑證之保管原則及銷毀程序。（第十一條及第十二條）</w:t>
      </w:r>
    </w:p>
    <w:p w:rsidR="00F9578C" w:rsidRPr="004E1B7B" w:rsidRDefault="004E1B7B" w:rsidP="004E1B7B">
      <w:pPr>
        <w:spacing w:line="460" w:lineRule="exact"/>
        <w:rPr>
          <w:rFonts w:ascii="標楷體" w:eastAsia="標楷體" w:hAnsi="標楷體" w:cs="Arial"/>
          <w:sz w:val="28"/>
          <w:szCs w:val="28"/>
        </w:rPr>
      </w:pPr>
      <w:r>
        <w:rPr>
          <w:rFonts w:ascii="標楷體" w:eastAsia="標楷體" w:hAnsi="標楷體"/>
          <w:sz w:val="28"/>
          <w:szCs w:val="28"/>
        </w:rPr>
        <w:t>九、</w:t>
      </w:r>
      <w:r w:rsidR="00F9578C" w:rsidRPr="004E1B7B">
        <w:rPr>
          <w:rFonts w:ascii="標楷體" w:eastAsia="標楷體" w:hAnsi="標楷體" w:hint="eastAsia"/>
          <w:sz w:val="28"/>
          <w:szCs w:val="28"/>
        </w:rPr>
        <w:t>會計帳簿之種類及定義。(第十三條及第十四條)</w:t>
      </w:r>
    </w:p>
    <w:p w:rsidR="00F9578C" w:rsidRPr="004E1B7B" w:rsidRDefault="004E1B7B" w:rsidP="004E1B7B">
      <w:pPr>
        <w:spacing w:line="460" w:lineRule="exact"/>
        <w:ind w:left="560" w:hangingChars="200" w:hanging="560"/>
        <w:rPr>
          <w:rFonts w:ascii="標楷體" w:eastAsia="標楷體" w:hAnsi="標楷體" w:cs="Arial"/>
          <w:sz w:val="28"/>
          <w:szCs w:val="28"/>
        </w:rPr>
      </w:pPr>
      <w:r>
        <w:rPr>
          <w:rFonts w:ascii="標楷體" w:eastAsia="標楷體" w:hAnsi="標楷體"/>
          <w:sz w:val="28"/>
          <w:szCs w:val="28"/>
        </w:rPr>
        <w:t>十、</w:t>
      </w:r>
      <w:r w:rsidR="00F9578C" w:rsidRPr="004E1B7B">
        <w:rPr>
          <w:rFonts w:ascii="標楷體" w:eastAsia="標楷體" w:hAnsi="標楷體" w:hint="eastAsia"/>
          <w:sz w:val="28"/>
          <w:szCs w:val="28"/>
        </w:rPr>
        <w:t>財團法人應設置之會計帳簿，及會計帳簿目錄、帳頁、記載及更換之處理原則等，並明定會計帳簿應經財團法人董事長或其授權人及主辦會計人員簽名或蓋章。（第十五條至第二十條）</w:t>
      </w:r>
    </w:p>
    <w:p w:rsidR="00F9578C" w:rsidRPr="004E1B7B" w:rsidRDefault="004E1B7B" w:rsidP="004E1B7B">
      <w:pPr>
        <w:spacing w:line="460" w:lineRule="exact"/>
        <w:rPr>
          <w:rFonts w:ascii="標楷體" w:eastAsia="標楷體" w:hAnsi="標楷體" w:cs="Arial"/>
          <w:sz w:val="28"/>
          <w:szCs w:val="28"/>
        </w:rPr>
      </w:pPr>
      <w:r>
        <w:rPr>
          <w:rFonts w:ascii="標楷體" w:eastAsia="標楷體" w:hAnsi="標楷體"/>
          <w:sz w:val="28"/>
          <w:szCs w:val="28"/>
        </w:rPr>
        <w:t>十一、</w:t>
      </w:r>
      <w:r w:rsidR="00F9578C" w:rsidRPr="004E1B7B">
        <w:rPr>
          <w:rFonts w:ascii="標楷體" w:eastAsia="標楷體" w:hAnsi="標楷體" w:hint="eastAsia"/>
          <w:sz w:val="28"/>
          <w:szCs w:val="28"/>
        </w:rPr>
        <w:t>記帳錯誤之更正程序。（第二十一條）</w:t>
      </w:r>
    </w:p>
    <w:p w:rsidR="004728B9" w:rsidRPr="004E1B7B" w:rsidRDefault="004E1B7B" w:rsidP="004E1B7B">
      <w:pPr>
        <w:spacing w:line="460" w:lineRule="exact"/>
        <w:rPr>
          <w:rFonts w:ascii="標楷體" w:eastAsia="標楷體" w:hAnsi="標楷體" w:cs="Arial"/>
          <w:sz w:val="28"/>
          <w:szCs w:val="28"/>
        </w:rPr>
      </w:pPr>
      <w:r>
        <w:rPr>
          <w:rFonts w:ascii="標楷體" w:eastAsia="標楷體" w:hAnsi="標楷體"/>
          <w:sz w:val="28"/>
          <w:szCs w:val="28"/>
        </w:rPr>
        <w:t>十二、</w:t>
      </w:r>
      <w:r w:rsidR="004728B9" w:rsidRPr="004E1B7B">
        <w:rPr>
          <w:rFonts w:ascii="標楷體" w:eastAsia="標楷體" w:hAnsi="標楷體" w:hint="eastAsia"/>
          <w:sz w:val="28"/>
          <w:szCs w:val="28"/>
        </w:rPr>
        <w:t>訂定會計憑證、帳簿及報告之保存年限</w:t>
      </w:r>
      <w:r w:rsidR="004728B9" w:rsidRPr="004E1B7B">
        <w:rPr>
          <w:rFonts w:ascii="標楷體" w:eastAsia="標楷體" w:hAnsi="標楷體" w:hint="eastAsia"/>
          <w:snapToGrid w:val="0"/>
          <w:kern w:val="0"/>
        </w:rPr>
        <w:t>。(</w:t>
      </w:r>
      <w:r w:rsidR="004728B9" w:rsidRPr="004E1B7B">
        <w:rPr>
          <w:rFonts w:ascii="標楷體" w:eastAsia="標楷體" w:hAnsi="標楷體" w:hint="eastAsia"/>
          <w:sz w:val="28"/>
          <w:szCs w:val="28"/>
        </w:rPr>
        <w:t>第二十二條)</w:t>
      </w:r>
    </w:p>
    <w:p w:rsidR="004728B9" w:rsidRPr="004E1B7B" w:rsidRDefault="004E1B7B" w:rsidP="004E1B7B">
      <w:pPr>
        <w:spacing w:line="460" w:lineRule="exact"/>
        <w:ind w:left="840" w:hangingChars="300" w:hanging="840"/>
        <w:rPr>
          <w:rFonts w:ascii="標楷體" w:eastAsia="標楷體" w:hAnsi="標楷體" w:cs="Arial"/>
          <w:sz w:val="28"/>
          <w:szCs w:val="28"/>
        </w:rPr>
      </w:pPr>
      <w:r>
        <w:rPr>
          <w:rFonts w:ascii="標楷體" w:eastAsia="標楷體" w:hAnsi="標楷體"/>
          <w:sz w:val="28"/>
          <w:szCs w:val="28"/>
        </w:rPr>
        <w:t>十三、</w:t>
      </w:r>
      <w:r w:rsidR="00F9578C" w:rsidRPr="004E1B7B">
        <w:rPr>
          <w:rFonts w:ascii="標楷體" w:eastAsia="標楷體" w:hAnsi="標楷體" w:hint="eastAsia"/>
          <w:sz w:val="28"/>
          <w:szCs w:val="28"/>
        </w:rPr>
        <w:t>財務報告基本應揭露之資訊、期後事項、資產負債表表達、收支餘絀表表達、</w:t>
      </w:r>
      <w:r w:rsidR="004728B9" w:rsidRPr="004E1B7B">
        <w:rPr>
          <w:rFonts w:ascii="標楷體" w:eastAsia="標楷體" w:hAnsi="標楷體" w:hint="eastAsia"/>
          <w:sz w:val="28"/>
          <w:szCs w:val="28"/>
        </w:rPr>
        <w:t>淨值變動表表達、現金流量表表達、</w:t>
      </w:r>
      <w:r w:rsidR="00F9578C" w:rsidRPr="004E1B7B">
        <w:rPr>
          <w:rFonts w:ascii="標楷體" w:eastAsia="標楷體" w:hAnsi="標楷體" w:hint="eastAsia"/>
          <w:sz w:val="28"/>
          <w:szCs w:val="28"/>
        </w:rPr>
        <w:t>功能</w:t>
      </w:r>
      <w:r w:rsidR="00F9578C" w:rsidRPr="004E1B7B">
        <w:rPr>
          <w:rFonts w:ascii="標楷體" w:eastAsia="標楷體" w:hAnsi="標楷體" w:hint="eastAsia"/>
          <w:sz w:val="28"/>
          <w:szCs w:val="28"/>
        </w:rPr>
        <w:lastRenderedPageBreak/>
        <w:t>別費用表表達、附屬作業組織收支餘絀表表達等。（第二十</w:t>
      </w:r>
      <w:r w:rsidR="004728B9" w:rsidRPr="004E1B7B">
        <w:rPr>
          <w:rFonts w:ascii="標楷體" w:eastAsia="標楷體" w:hAnsi="標楷體" w:hint="eastAsia"/>
          <w:sz w:val="28"/>
          <w:szCs w:val="28"/>
        </w:rPr>
        <w:t>三</w:t>
      </w:r>
      <w:r w:rsidR="00F9578C" w:rsidRPr="004E1B7B">
        <w:rPr>
          <w:rFonts w:ascii="標楷體" w:eastAsia="標楷體" w:hAnsi="標楷體" w:hint="eastAsia"/>
          <w:sz w:val="28"/>
          <w:szCs w:val="28"/>
        </w:rPr>
        <w:t>條至第</w:t>
      </w:r>
      <w:r w:rsidR="004728B9" w:rsidRPr="004E1B7B">
        <w:rPr>
          <w:rFonts w:ascii="標楷體" w:eastAsia="標楷體" w:hAnsi="標楷體" w:hint="eastAsia"/>
          <w:sz w:val="28"/>
          <w:szCs w:val="28"/>
        </w:rPr>
        <w:t>四十</w:t>
      </w:r>
      <w:r w:rsidR="006C352B" w:rsidRPr="004E1B7B">
        <w:rPr>
          <w:rFonts w:ascii="標楷體" w:eastAsia="標楷體" w:hAnsi="標楷體" w:hint="eastAsia"/>
          <w:sz w:val="28"/>
          <w:szCs w:val="28"/>
        </w:rPr>
        <w:t>一</w:t>
      </w:r>
      <w:r w:rsidR="00F9578C" w:rsidRPr="004E1B7B">
        <w:rPr>
          <w:rFonts w:ascii="標楷體" w:eastAsia="標楷體" w:hAnsi="標楷體" w:hint="eastAsia"/>
          <w:sz w:val="28"/>
          <w:szCs w:val="28"/>
        </w:rPr>
        <w:t>條）</w:t>
      </w:r>
    </w:p>
    <w:p w:rsidR="00F9578C" w:rsidRPr="004E1B7B" w:rsidRDefault="004E1B7B" w:rsidP="004E1B7B">
      <w:pPr>
        <w:spacing w:line="460" w:lineRule="exact"/>
        <w:ind w:left="840" w:hangingChars="300" w:hanging="840"/>
        <w:rPr>
          <w:rFonts w:ascii="標楷體" w:eastAsia="標楷體" w:hAnsi="標楷體" w:cs="Arial"/>
          <w:sz w:val="28"/>
          <w:szCs w:val="28"/>
        </w:rPr>
      </w:pPr>
      <w:r>
        <w:rPr>
          <w:rFonts w:ascii="標楷體" w:eastAsia="標楷體" w:hAnsi="標楷體"/>
          <w:sz w:val="28"/>
          <w:szCs w:val="28"/>
        </w:rPr>
        <w:t>十四、</w:t>
      </w:r>
      <w:r w:rsidR="00F9578C" w:rsidRPr="004E1B7B">
        <w:rPr>
          <w:rFonts w:ascii="標楷體" w:eastAsia="標楷體" w:hAnsi="標楷體" w:hint="eastAsia"/>
          <w:sz w:val="28"/>
          <w:szCs w:val="28"/>
        </w:rPr>
        <w:t>財務報告之編製方式、應記載及遵行事項，並明定財務報告應經財團法人董事長及主辦會計等相關人員簽名或蓋章。（第</w:t>
      </w:r>
      <w:r w:rsidR="004728B9" w:rsidRPr="004E1B7B">
        <w:rPr>
          <w:rFonts w:ascii="標楷體" w:eastAsia="標楷體" w:hAnsi="標楷體" w:hint="eastAsia"/>
          <w:sz w:val="28"/>
          <w:szCs w:val="28"/>
        </w:rPr>
        <w:t>四十</w:t>
      </w:r>
      <w:r w:rsidR="006C352B" w:rsidRPr="004E1B7B">
        <w:rPr>
          <w:rFonts w:ascii="標楷體" w:eastAsia="標楷體" w:hAnsi="標楷體" w:hint="eastAsia"/>
          <w:sz w:val="28"/>
          <w:szCs w:val="28"/>
        </w:rPr>
        <w:t>二</w:t>
      </w:r>
      <w:r w:rsidR="00F9578C" w:rsidRPr="004E1B7B">
        <w:rPr>
          <w:rFonts w:ascii="標楷體" w:eastAsia="標楷體" w:hAnsi="標楷體" w:hint="eastAsia"/>
          <w:sz w:val="28"/>
          <w:szCs w:val="28"/>
        </w:rPr>
        <w:t>條）</w:t>
      </w:r>
    </w:p>
    <w:p w:rsidR="004E1B7B" w:rsidRPr="004E1B7B" w:rsidRDefault="004E1B7B" w:rsidP="004E1B7B">
      <w:pPr>
        <w:spacing w:line="460" w:lineRule="exact"/>
        <w:rPr>
          <w:rFonts w:ascii="標楷體" w:eastAsia="標楷體" w:hAnsi="標楷體"/>
          <w:sz w:val="28"/>
          <w:szCs w:val="28"/>
        </w:rPr>
      </w:pPr>
      <w:r>
        <w:rPr>
          <w:rFonts w:ascii="標楷體" w:eastAsia="標楷體" w:hAnsi="標楷體"/>
          <w:snapToGrid w:val="0"/>
          <w:kern w:val="0"/>
          <w:sz w:val="28"/>
        </w:rPr>
        <w:t>十五、</w:t>
      </w:r>
      <w:r w:rsidR="00F9578C" w:rsidRPr="004E1B7B">
        <w:rPr>
          <w:rFonts w:ascii="標楷體" w:eastAsia="標楷體" w:hAnsi="標楷體" w:hint="eastAsia"/>
          <w:snapToGrid w:val="0"/>
          <w:kern w:val="0"/>
          <w:sz w:val="28"/>
        </w:rPr>
        <w:t>明定本</w:t>
      </w:r>
      <w:r w:rsidR="00F9578C" w:rsidRPr="004E1B7B">
        <w:rPr>
          <w:rFonts w:ascii="標楷體" w:eastAsia="標楷體" w:hAnsi="標楷體" w:hint="eastAsia"/>
          <w:sz w:val="28"/>
        </w:rPr>
        <w:t>準則</w:t>
      </w:r>
      <w:r w:rsidR="00F9578C" w:rsidRPr="004E1B7B">
        <w:rPr>
          <w:rFonts w:ascii="標楷體" w:eastAsia="標楷體" w:hAnsi="標楷體" w:hint="eastAsia"/>
          <w:snapToGrid w:val="0"/>
          <w:kern w:val="0"/>
          <w:sz w:val="28"/>
        </w:rPr>
        <w:t>施行日期。</w:t>
      </w:r>
      <w:r w:rsidR="00F9578C" w:rsidRPr="004E1B7B">
        <w:rPr>
          <w:rFonts w:ascii="標楷體" w:eastAsia="標楷體" w:hAnsi="標楷體" w:hint="eastAsia"/>
          <w:sz w:val="28"/>
          <w:szCs w:val="28"/>
        </w:rPr>
        <w:t>（第四十</w:t>
      </w:r>
      <w:r w:rsidR="006C352B" w:rsidRPr="004E1B7B">
        <w:rPr>
          <w:rFonts w:ascii="標楷體" w:eastAsia="標楷體" w:hAnsi="標楷體" w:hint="eastAsia"/>
          <w:sz w:val="28"/>
          <w:szCs w:val="28"/>
        </w:rPr>
        <w:t>三</w:t>
      </w:r>
      <w:r w:rsidR="00F9578C" w:rsidRPr="004E1B7B">
        <w:rPr>
          <w:rFonts w:ascii="標楷體" w:eastAsia="標楷體" w:hAnsi="標楷體" w:hint="eastAsia"/>
          <w:sz w:val="28"/>
          <w:szCs w:val="28"/>
        </w:rPr>
        <w:t>條）</w:t>
      </w:r>
    </w:p>
    <w:p w:rsidR="004E1B7B" w:rsidRPr="004E1B7B" w:rsidRDefault="004E1B7B">
      <w:pPr>
        <w:widowControl/>
        <w:rPr>
          <w:rFonts w:ascii="標楷體" w:eastAsia="標楷體" w:hAnsi="標楷體"/>
          <w:sz w:val="28"/>
          <w:szCs w:val="28"/>
        </w:rPr>
      </w:pPr>
      <w:r w:rsidRPr="004E1B7B">
        <w:rPr>
          <w:rFonts w:ascii="標楷體" w:eastAsia="標楷體" w:hAnsi="標楷體"/>
          <w:sz w:val="28"/>
          <w:szCs w:val="28"/>
        </w:rPr>
        <w:br w:type="page"/>
      </w:r>
    </w:p>
    <w:p w:rsidR="004E1B7B" w:rsidRPr="004E1B7B" w:rsidRDefault="004E1B7B" w:rsidP="004E1B7B">
      <w:pPr>
        <w:pStyle w:val="HTML"/>
        <w:spacing w:line="460" w:lineRule="exact"/>
        <w:rPr>
          <w:rFonts w:ascii="標楷體" w:eastAsia="標楷體" w:hAnsi="標楷體"/>
          <w:sz w:val="40"/>
          <w:szCs w:val="40"/>
        </w:rPr>
      </w:pPr>
      <w:r w:rsidRPr="004E1B7B">
        <w:rPr>
          <w:rFonts w:ascii="標楷體" w:eastAsia="標楷體" w:hAnsi="標楷體" w:hint="eastAsia"/>
          <w:sz w:val="40"/>
          <w:szCs w:val="40"/>
        </w:rPr>
        <w:lastRenderedPageBreak/>
        <w:t>臺中市社會福利財團法人會計處理及財務報告編製準則</w:t>
      </w:r>
      <w:r w:rsidRPr="004E1B7B">
        <w:rPr>
          <w:rFonts w:ascii="標楷體" w:eastAsia="標楷體" w:hAnsi="標楷體" w:hint="eastAsia"/>
          <w:bCs/>
          <w:sz w:val="40"/>
          <w:szCs w:val="40"/>
        </w:rPr>
        <w:t>草案</w:t>
      </w:r>
    </w:p>
    <w:tbl>
      <w:tblPr>
        <w:tblW w:w="525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97"/>
        <w:gridCol w:w="4427"/>
      </w:tblGrid>
      <w:tr w:rsidR="004E1B7B" w:rsidRPr="004E1B7B" w:rsidTr="00EC671F">
        <w:trPr>
          <w:trHeight w:val="270"/>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jc w:val="center"/>
              <w:rPr>
                <w:rFonts w:ascii="標楷體" w:eastAsia="標楷體" w:hAnsi="標楷體"/>
              </w:rPr>
            </w:pPr>
            <w:r w:rsidRPr="004E1B7B">
              <w:rPr>
                <w:rFonts w:ascii="標楷體" w:eastAsia="標楷體" w:hAnsi="標楷體" w:hint="eastAsia"/>
              </w:rPr>
              <w:t>名稱</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jc w:val="center"/>
              <w:rPr>
                <w:rFonts w:ascii="標楷體" w:eastAsia="標楷體" w:hAnsi="標楷體"/>
              </w:rPr>
            </w:pPr>
            <w:r w:rsidRPr="004E1B7B">
              <w:rPr>
                <w:rFonts w:ascii="標楷體" w:eastAsia="標楷體" w:hAnsi="標楷體" w:hint="eastAsia"/>
              </w:rPr>
              <w:t>說明</w:t>
            </w:r>
          </w:p>
        </w:tc>
      </w:tr>
      <w:tr w:rsidR="004E1B7B" w:rsidRPr="004E1B7B" w:rsidTr="00EC671F">
        <w:trPr>
          <w:trHeight w:val="683"/>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rPr>
                <w:rFonts w:ascii="標楷體" w:eastAsia="標楷體" w:hAnsi="標楷體"/>
              </w:rPr>
            </w:pPr>
            <w:r w:rsidRPr="004E1B7B">
              <w:rPr>
                <w:rFonts w:ascii="標楷體" w:eastAsia="標楷體" w:hAnsi="標楷體" w:hint="eastAsia"/>
              </w:rPr>
              <w:t>臺中市社會福利財團法人會計處理及財務報告編製準則</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rPr>
                <w:rFonts w:ascii="標楷體" w:eastAsia="標楷體" w:hAnsi="標楷體"/>
              </w:rPr>
            </w:pPr>
            <w:r w:rsidRPr="004E1B7B">
              <w:rPr>
                <w:rFonts w:ascii="標楷體" w:eastAsia="標楷體" w:hAnsi="標楷體" w:hint="eastAsia"/>
              </w:rPr>
              <w:t>自治規則名稱。</w:t>
            </w:r>
          </w:p>
          <w:p w:rsidR="004E1B7B" w:rsidRPr="004E1B7B" w:rsidRDefault="004E1B7B" w:rsidP="00EC671F">
            <w:pPr>
              <w:rPr>
                <w:rFonts w:ascii="標楷體" w:eastAsia="標楷體" w:hAnsi="標楷體"/>
              </w:rPr>
            </w:pPr>
          </w:p>
        </w:tc>
      </w:tr>
      <w:tr w:rsidR="004E1B7B" w:rsidRPr="004E1B7B" w:rsidTr="00EC671F">
        <w:trPr>
          <w:trHeight w:val="465"/>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jc w:val="center"/>
              <w:rPr>
                <w:rFonts w:ascii="標楷體" w:eastAsia="標楷體" w:hAnsi="標楷體"/>
              </w:rPr>
            </w:pPr>
            <w:r w:rsidRPr="004E1B7B">
              <w:rPr>
                <w:rFonts w:ascii="標楷體" w:eastAsia="標楷體" w:hAnsi="標楷體" w:hint="eastAsia"/>
              </w:rPr>
              <w:t>條文</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jc w:val="center"/>
              <w:rPr>
                <w:rFonts w:ascii="標楷體" w:eastAsia="標楷體" w:hAnsi="標楷體"/>
              </w:rPr>
            </w:pPr>
            <w:r w:rsidRPr="004E1B7B">
              <w:rPr>
                <w:rFonts w:ascii="標楷體" w:eastAsia="標楷體" w:hAnsi="標楷體" w:hint="eastAsia"/>
              </w:rPr>
              <w:t>說明</w:t>
            </w:r>
          </w:p>
        </w:tc>
      </w:tr>
      <w:tr w:rsidR="004E1B7B" w:rsidRPr="004E1B7B" w:rsidTr="00EC671F">
        <w:trPr>
          <w:trHeight w:val="465"/>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rPr>
                <w:rFonts w:ascii="標楷體" w:eastAsia="標楷體" w:hAnsi="標楷體"/>
              </w:rPr>
            </w:pPr>
            <w:r w:rsidRPr="004E1B7B">
              <w:rPr>
                <w:rFonts w:ascii="標楷體" w:eastAsia="標楷體" w:hAnsi="標楷體" w:hint="eastAsia"/>
              </w:rPr>
              <w:t>第一章　總則</w:t>
            </w:r>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rPr>
                <w:rFonts w:ascii="標楷體" w:eastAsia="標楷體" w:hAnsi="標楷體"/>
              </w:rPr>
            </w:pPr>
            <w:r w:rsidRPr="004E1B7B">
              <w:rPr>
                <w:rFonts w:ascii="標楷體" w:eastAsia="標楷體" w:hAnsi="標楷體" w:hint="eastAsia"/>
              </w:rPr>
              <w:t>明訂章名。</w:t>
            </w:r>
          </w:p>
        </w:tc>
      </w:tr>
      <w:tr w:rsidR="004E1B7B" w:rsidRPr="004E1B7B" w:rsidTr="00EC671F">
        <w:trPr>
          <w:trHeight w:val="614"/>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Chars="-11" w:left="238" w:hangingChars="110" w:hanging="264"/>
              <w:jc w:val="both"/>
              <w:rPr>
                <w:rFonts w:ascii="標楷體" w:eastAsia="標楷體" w:hAnsi="標楷體"/>
              </w:rPr>
            </w:pPr>
            <w:r w:rsidRPr="004E1B7B">
              <w:rPr>
                <w:rFonts w:ascii="標楷體" w:eastAsia="標楷體" w:hAnsi="標楷體" w:hint="eastAsia"/>
              </w:rPr>
              <w:t>第一條　本準則依財團法人法(以下簡稱本法)第二十四條第四項規定訂定之。</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jc w:val="both"/>
              <w:rPr>
                <w:rFonts w:ascii="標楷體" w:eastAsia="標楷體" w:hAnsi="標楷體" w:cs="細明體"/>
                <w:sz w:val="23"/>
                <w:szCs w:val="23"/>
              </w:rPr>
            </w:pPr>
            <w:r w:rsidRPr="004E1B7B">
              <w:rPr>
                <w:rFonts w:ascii="標楷體" w:eastAsia="標楷體" w:hAnsi="標楷體" w:cs="細明體" w:hint="eastAsia"/>
                <w:sz w:val="23"/>
                <w:szCs w:val="23"/>
              </w:rPr>
              <w:t>本</w:t>
            </w:r>
            <w:r w:rsidRPr="004E1B7B">
              <w:rPr>
                <w:rFonts w:ascii="標楷體" w:eastAsia="標楷體" w:hAnsi="標楷體" w:hint="eastAsia"/>
              </w:rPr>
              <w:t>準則</w:t>
            </w:r>
            <w:r w:rsidRPr="004E1B7B">
              <w:rPr>
                <w:rFonts w:ascii="標楷體" w:eastAsia="標楷體" w:hAnsi="標楷體" w:cs="細明體" w:hint="eastAsia"/>
                <w:sz w:val="23"/>
                <w:szCs w:val="23"/>
              </w:rPr>
              <w:t>之訂定依據。</w:t>
            </w:r>
          </w:p>
        </w:tc>
      </w:tr>
      <w:tr w:rsidR="004E1B7B" w:rsidRPr="004E1B7B" w:rsidTr="00EC671F">
        <w:trPr>
          <w:trHeight w:val="778"/>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ind w:left="240" w:hangingChars="100" w:hanging="240"/>
              <w:jc w:val="both"/>
              <w:rPr>
                <w:rFonts w:ascii="標楷體" w:eastAsia="標楷體" w:hAnsi="標楷體" w:cs="標楷體"/>
              </w:rPr>
            </w:pPr>
            <w:r w:rsidRPr="004E1B7B">
              <w:rPr>
                <w:rFonts w:ascii="標楷體" w:eastAsia="標楷體" w:hAnsi="標楷體"/>
              </w:rPr>
              <w:t>第二條　本</w:t>
            </w:r>
            <w:r w:rsidRPr="004E1B7B">
              <w:rPr>
                <w:rFonts w:ascii="標楷體" w:eastAsia="標楷體" w:hAnsi="標楷體" w:hint="eastAsia"/>
              </w:rPr>
              <w:t>準則</w:t>
            </w:r>
            <w:r w:rsidRPr="004E1B7B">
              <w:rPr>
                <w:rFonts w:ascii="標楷體" w:eastAsia="標楷體" w:hAnsi="標楷體"/>
              </w:rPr>
              <w:t>之主管機關為臺中市政府社會局。</w:t>
            </w:r>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pStyle w:val="Standard"/>
              <w:spacing w:line="240" w:lineRule="atLeast"/>
              <w:rPr>
                <w:rFonts w:eastAsia="新細明體"/>
              </w:rPr>
            </w:pPr>
            <w:r w:rsidRPr="004E1B7B">
              <w:rPr>
                <w:rFonts w:ascii="標楷體" w:eastAsia="標楷體" w:hAnsi="標楷體" w:cs="標楷體"/>
              </w:rPr>
              <w:t>依據財團法人法第三條第一項規定：「財團法人之主管機關，除登記及清算事項外，在中央為目的事業主管機關；在直轄市為直轄市政府；在縣（市）為縣（市）政府</w:t>
            </w:r>
            <w:r w:rsidRPr="004E1B7B">
              <w:rPr>
                <w:rFonts w:ascii="標楷體" w:eastAsia="標楷體" w:hAnsi="標楷體" w:cs="Arial"/>
              </w:rPr>
              <w:t>。」本</w:t>
            </w:r>
            <w:r w:rsidRPr="004E1B7B">
              <w:rPr>
                <w:rFonts w:ascii="標楷體" w:eastAsia="標楷體" w:hAnsi="標楷體" w:hint="eastAsia"/>
              </w:rPr>
              <w:t>準則</w:t>
            </w:r>
            <w:r w:rsidRPr="004E1B7B">
              <w:rPr>
                <w:rFonts w:ascii="標楷體" w:eastAsia="標楷體" w:hAnsi="標楷體" w:cs="Arial"/>
              </w:rPr>
              <w:t>係依臺中市政府組織權限劃分自治條例第四條規定，明定社會福利財團法人主管機關為社會局。</w:t>
            </w:r>
          </w:p>
        </w:tc>
      </w:tr>
      <w:tr w:rsidR="004E1B7B" w:rsidRPr="004E1B7B" w:rsidTr="00EC671F">
        <w:trPr>
          <w:trHeight w:val="1413"/>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240" w:hangingChars="100" w:hanging="240"/>
              <w:jc w:val="both"/>
              <w:rPr>
                <w:rFonts w:ascii="標楷體" w:eastAsia="標楷體" w:hAnsi="標楷體"/>
              </w:rPr>
            </w:pPr>
            <w:r w:rsidRPr="004E1B7B">
              <w:rPr>
                <w:rFonts w:ascii="標楷體" w:eastAsia="標楷體" w:hAnsi="標楷體" w:hint="eastAsia"/>
              </w:rPr>
              <w:t>第三條　臺中市社會福利財團法人（以下簡稱財團法人），其會計處理及財務報告之編製，應依本準則辦理；本準則未規定者，依一般公認會計原則為之。</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1"/>
              </w:numPr>
              <w:autoSpaceDE w:val="0"/>
              <w:autoSpaceDN w:val="0"/>
              <w:adjustRightInd w:val="0"/>
              <w:rPr>
                <w:rFonts w:ascii="標楷體" w:eastAsia="標楷體" w:hAnsi="標楷體"/>
              </w:rPr>
            </w:pPr>
            <w:r w:rsidRPr="004E1B7B">
              <w:rPr>
                <w:rFonts w:ascii="標楷體" w:eastAsia="標楷體" w:hAnsi="標楷體" w:hint="eastAsia"/>
              </w:rPr>
              <w:t>規範</w:t>
            </w:r>
            <w:r w:rsidRPr="004E1B7B">
              <w:rPr>
                <w:rFonts w:ascii="標楷體" w:eastAsia="標楷體" w:hAnsi="標楷體"/>
              </w:rPr>
              <w:t>財團法人</w:t>
            </w:r>
            <w:r w:rsidRPr="004E1B7B">
              <w:rPr>
                <w:rFonts w:ascii="標楷體" w:eastAsia="標楷體" w:hAnsi="標楷體" w:hint="eastAsia"/>
              </w:rPr>
              <w:t>會計處理及財務報告編製應依循之準則及相關法規。</w:t>
            </w:r>
          </w:p>
          <w:p w:rsidR="004E1B7B" w:rsidRPr="004E1B7B" w:rsidRDefault="004E1B7B" w:rsidP="0062085D">
            <w:pPr>
              <w:numPr>
                <w:ilvl w:val="0"/>
                <w:numId w:val="1"/>
              </w:numPr>
              <w:autoSpaceDE w:val="0"/>
              <w:autoSpaceDN w:val="0"/>
              <w:adjustRightInd w:val="0"/>
              <w:rPr>
                <w:rFonts w:ascii="標楷體" w:eastAsia="標楷體" w:hAnsi="標楷體"/>
              </w:rPr>
            </w:pPr>
            <w:r w:rsidRPr="004E1B7B">
              <w:rPr>
                <w:rFonts w:ascii="標楷體" w:eastAsia="標楷體" w:hAnsi="標楷體" w:hint="eastAsia"/>
              </w:rPr>
              <w:t>參考全國性社會福利財團法人會計處理及財務報告編製準則第二條規定。</w:t>
            </w:r>
          </w:p>
        </w:tc>
      </w:tr>
      <w:tr w:rsidR="004E1B7B" w:rsidRPr="004E1B7B" w:rsidTr="00EC671F">
        <w:trPr>
          <w:trHeight w:val="990"/>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240" w:hangingChars="100" w:hanging="240"/>
              <w:jc w:val="both"/>
              <w:rPr>
                <w:rFonts w:ascii="標楷體" w:eastAsia="標楷體" w:hAnsi="標楷體"/>
              </w:rPr>
            </w:pPr>
            <w:r w:rsidRPr="004E1B7B">
              <w:rPr>
                <w:rFonts w:ascii="標楷體" w:eastAsia="標楷體" w:hAnsi="標楷體" w:hint="eastAsia"/>
              </w:rPr>
              <w:t>第四條　財團法人會計應以新臺幣為記帳本位幣，並以元為單位，外幣應折合本位幣。</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rPr>
                <w:rFonts w:ascii="標楷體" w:eastAsia="標楷體" w:hAnsi="標楷體"/>
              </w:rPr>
            </w:pPr>
            <w:r w:rsidRPr="004E1B7B">
              <w:rPr>
                <w:rFonts w:ascii="標楷體" w:eastAsia="標楷體" w:hAnsi="標楷體" w:hint="eastAsia"/>
              </w:rPr>
              <w:t>訂定財團法人會計之記帳本位幣。</w:t>
            </w:r>
          </w:p>
        </w:tc>
      </w:tr>
      <w:tr w:rsidR="004E1B7B" w:rsidRPr="004E1B7B" w:rsidTr="00EC671F">
        <w:trPr>
          <w:trHeight w:val="434"/>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ind w:left="240" w:hangingChars="100" w:hanging="240"/>
              <w:jc w:val="both"/>
              <w:rPr>
                <w:rFonts w:ascii="標楷體" w:eastAsia="標楷體" w:hAnsi="標楷體"/>
              </w:rPr>
            </w:pPr>
            <w:r w:rsidRPr="004E1B7B">
              <w:rPr>
                <w:rFonts w:ascii="標楷體" w:eastAsia="標楷體" w:hAnsi="標楷體" w:hint="eastAsia"/>
              </w:rPr>
              <w:t>第二章　會計處理</w:t>
            </w:r>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rPr>
                <w:rFonts w:ascii="標楷體" w:eastAsia="標楷體" w:hAnsi="標楷體"/>
              </w:rPr>
            </w:pPr>
            <w:r w:rsidRPr="004E1B7B">
              <w:rPr>
                <w:rFonts w:ascii="標楷體" w:eastAsia="標楷體" w:hAnsi="標楷體" w:hint="eastAsia"/>
              </w:rPr>
              <w:t>明定章名。</w:t>
            </w:r>
          </w:p>
        </w:tc>
      </w:tr>
      <w:tr w:rsidR="004E1B7B" w:rsidRPr="004E1B7B" w:rsidTr="00EC671F">
        <w:trPr>
          <w:trHeight w:val="558"/>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240" w:hangingChars="100" w:hanging="240"/>
              <w:jc w:val="both"/>
              <w:rPr>
                <w:rFonts w:ascii="標楷體" w:eastAsia="標楷體" w:hAnsi="標楷體"/>
              </w:rPr>
            </w:pPr>
            <w:r w:rsidRPr="004E1B7B">
              <w:rPr>
                <w:rFonts w:ascii="標楷體" w:eastAsia="標楷體" w:hAnsi="標楷體" w:hint="eastAsia"/>
              </w:rPr>
              <w:t>第五條  財團法人應依其實際業務情形、會計事務性質、業務發展及管理需要，建立會計制度，報主管機關備查。</w:t>
            </w:r>
          </w:p>
          <w:p w:rsidR="004E1B7B" w:rsidRPr="004E1B7B" w:rsidRDefault="004E1B7B" w:rsidP="00EC671F">
            <w:pPr>
              <w:ind w:leftChars="100" w:left="240" w:firstLineChars="250" w:firstLine="600"/>
              <w:jc w:val="both"/>
              <w:rPr>
                <w:rFonts w:ascii="標楷體" w:eastAsia="標楷體" w:hAnsi="標楷體"/>
              </w:rPr>
            </w:pPr>
            <w:r w:rsidRPr="004E1B7B">
              <w:rPr>
                <w:rFonts w:ascii="標楷體" w:eastAsia="標楷體" w:hAnsi="標楷體" w:hint="eastAsia"/>
              </w:rPr>
              <w:t>前項會計制度之內容，應包括下列事項：</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一、總說明。</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二、帳簿組織系統圖。</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三、會計憑證。</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四、會計帳簿。</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五、會計項目。</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六、財務報表。</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七、會計事務處理程序。</w:t>
            </w:r>
          </w:p>
          <w:p w:rsidR="004E1B7B" w:rsidRPr="004E1B7B" w:rsidRDefault="004E1B7B" w:rsidP="00EC671F">
            <w:pPr>
              <w:ind w:leftChars="100" w:left="240"/>
              <w:jc w:val="both"/>
              <w:rPr>
                <w:rFonts w:ascii="標楷體" w:eastAsia="標楷體" w:hAnsi="標楷體"/>
              </w:rPr>
            </w:pPr>
            <w:r w:rsidRPr="004E1B7B">
              <w:rPr>
                <w:rFonts w:ascii="標楷體" w:eastAsia="標楷體" w:hAnsi="標楷體" w:hint="eastAsia"/>
              </w:rPr>
              <w:t>八、財務及出納作業程序。</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2"/>
              </w:numPr>
              <w:rPr>
                <w:rFonts w:ascii="標楷體" w:eastAsia="標楷體" w:hAnsi="標楷體"/>
              </w:rPr>
            </w:pPr>
            <w:r w:rsidRPr="004E1B7B">
              <w:rPr>
                <w:rFonts w:ascii="標楷體" w:eastAsia="標楷體" w:hAnsi="標楷體" w:hint="eastAsia"/>
              </w:rPr>
              <w:t>明定會計制度之主要內容。</w:t>
            </w:r>
          </w:p>
          <w:p w:rsidR="004E1B7B" w:rsidRPr="004E1B7B" w:rsidRDefault="004E1B7B" w:rsidP="0062085D">
            <w:pPr>
              <w:numPr>
                <w:ilvl w:val="0"/>
                <w:numId w:val="2"/>
              </w:numPr>
              <w:autoSpaceDE w:val="0"/>
              <w:autoSpaceDN w:val="0"/>
              <w:adjustRightInd w:val="0"/>
              <w:rPr>
                <w:rFonts w:ascii="標楷體" w:eastAsia="標楷體" w:hAnsi="標楷體"/>
              </w:rPr>
            </w:pPr>
            <w:r w:rsidRPr="004E1B7B">
              <w:rPr>
                <w:rFonts w:ascii="標楷體" w:eastAsia="標楷體" w:hAnsi="標楷體" w:hint="eastAsia"/>
              </w:rPr>
              <w:t>參考全國性社會福利財團法人會計處理及財務報告編製準則第七條規定。</w:t>
            </w:r>
          </w:p>
        </w:tc>
      </w:tr>
      <w:tr w:rsidR="004E1B7B" w:rsidRPr="004E1B7B" w:rsidTr="00EC671F">
        <w:trPr>
          <w:trHeight w:val="1564"/>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240" w:hangingChars="100" w:hanging="240"/>
              <w:jc w:val="both"/>
              <w:rPr>
                <w:rFonts w:ascii="標楷體" w:eastAsia="標楷體" w:hAnsi="標楷體" w:cs="新細明體"/>
                <w:kern w:val="0"/>
              </w:rPr>
            </w:pPr>
            <w:r w:rsidRPr="004E1B7B">
              <w:rPr>
                <w:rFonts w:ascii="標楷體" w:eastAsia="標楷體" w:hAnsi="標楷體" w:hint="eastAsia"/>
              </w:rPr>
              <w:lastRenderedPageBreak/>
              <w:t xml:space="preserve">第六條　</w:t>
            </w:r>
            <w:r w:rsidRPr="004E1B7B">
              <w:rPr>
                <w:rFonts w:ascii="標楷體" w:eastAsia="標楷體" w:hAnsi="標楷體" w:cs="新細明體" w:hint="eastAsia"/>
                <w:kern w:val="0"/>
              </w:rPr>
              <w:t>會計憑證分為下列二類：</w:t>
            </w:r>
          </w:p>
          <w:p w:rsidR="004E1B7B" w:rsidRPr="004E1B7B" w:rsidRDefault="004E1B7B" w:rsidP="00EC671F">
            <w:pPr>
              <w:ind w:leftChars="100" w:left="720" w:hangingChars="200" w:hanging="480"/>
              <w:jc w:val="both"/>
              <w:rPr>
                <w:rFonts w:ascii="標楷體" w:eastAsia="標楷體" w:hAnsi="標楷體" w:cs="新細明體"/>
                <w:kern w:val="0"/>
              </w:rPr>
            </w:pPr>
            <w:r w:rsidRPr="004E1B7B">
              <w:rPr>
                <w:rFonts w:ascii="標楷體" w:eastAsia="標楷體" w:hAnsi="標楷體" w:cs="新細明體" w:hint="eastAsia"/>
                <w:kern w:val="0"/>
              </w:rPr>
              <w:t>一、原始憑證：證明會計事項經過，而為造具記帳憑證所根據之憑證。</w:t>
            </w:r>
          </w:p>
          <w:p w:rsidR="004E1B7B" w:rsidRPr="004E1B7B" w:rsidRDefault="004E1B7B" w:rsidP="00EC671F">
            <w:pPr>
              <w:ind w:leftChars="100" w:left="720" w:hangingChars="200" w:hanging="480"/>
              <w:jc w:val="both"/>
              <w:rPr>
                <w:rFonts w:ascii="標楷體" w:eastAsia="標楷體" w:hAnsi="標楷體"/>
              </w:rPr>
            </w:pPr>
            <w:r w:rsidRPr="004E1B7B">
              <w:rPr>
                <w:rFonts w:ascii="標楷體" w:eastAsia="標楷體" w:hAnsi="標楷體" w:cs="新細明體" w:hint="eastAsia"/>
                <w:kern w:val="0"/>
              </w:rPr>
              <w:t>二、記帳憑證：證明處理會計事項人員責任，而為記帳所根據之憑證。</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3"/>
              </w:numPr>
              <w:jc w:val="both"/>
              <w:rPr>
                <w:rFonts w:ascii="標楷體" w:eastAsia="標楷體" w:hAnsi="標楷體"/>
                <w:snapToGrid w:val="0"/>
              </w:rPr>
            </w:pPr>
            <w:r w:rsidRPr="004E1B7B">
              <w:rPr>
                <w:rFonts w:ascii="標楷體" w:eastAsia="標楷體" w:hAnsi="標楷體" w:hint="eastAsia"/>
                <w:snapToGrid w:val="0"/>
              </w:rPr>
              <w:t>訂定會計憑證種類及其內涵。</w:t>
            </w:r>
          </w:p>
          <w:p w:rsidR="004E1B7B" w:rsidRPr="004E1B7B" w:rsidRDefault="004E1B7B" w:rsidP="0062085D">
            <w:pPr>
              <w:numPr>
                <w:ilvl w:val="0"/>
                <w:numId w:val="3"/>
              </w:numPr>
              <w:jc w:val="both"/>
              <w:rPr>
                <w:rFonts w:ascii="標楷體" w:eastAsia="標楷體" w:hAnsi="標楷體"/>
                <w:snapToGrid w:val="0"/>
              </w:rPr>
            </w:pPr>
            <w:r w:rsidRPr="004E1B7B">
              <w:rPr>
                <w:rFonts w:ascii="標楷體" w:eastAsia="標楷體" w:hAnsi="標楷體" w:hint="eastAsia"/>
              </w:rPr>
              <w:t>參考全國性內政財團法人會計處理及財務報告編製準則第三條規定。</w:t>
            </w:r>
          </w:p>
          <w:p w:rsidR="004E1B7B" w:rsidRPr="004E1B7B" w:rsidRDefault="004E1B7B" w:rsidP="00EC671F">
            <w:pPr>
              <w:jc w:val="both"/>
              <w:rPr>
                <w:rFonts w:ascii="標楷體" w:eastAsia="標楷體" w:hAnsi="標楷體"/>
                <w:snapToGrid w:val="0"/>
              </w:rPr>
            </w:pPr>
          </w:p>
        </w:tc>
      </w:tr>
      <w:tr w:rsidR="004E1B7B" w:rsidRPr="004E1B7B" w:rsidTr="00EC671F">
        <w:trPr>
          <w:trHeight w:val="5849"/>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252" w:hangingChars="105" w:hanging="252"/>
              <w:jc w:val="both"/>
              <w:rPr>
                <w:rFonts w:ascii="標楷體" w:eastAsia="標楷體" w:hAnsi="標楷體" w:cs="新細明體"/>
                <w:kern w:val="0"/>
              </w:rPr>
            </w:pPr>
            <w:r w:rsidRPr="004E1B7B">
              <w:rPr>
                <w:rFonts w:ascii="標楷體" w:eastAsia="標楷體" w:hAnsi="標楷體" w:hint="eastAsia"/>
              </w:rPr>
              <w:t xml:space="preserve">第七條　</w:t>
            </w:r>
            <w:r w:rsidRPr="004E1B7B">
              <w:rPr>
                <w:rFonts w:ascii="標楷體" w:eastAsia="標楷體" w:hAnsi="標楷體" w:cs="新細明體" w:hint="eastAsia"/>
                <w:kern w:val="0"/>
              </w:rPr>
              <w:t>原始憑證分為下列三類：</w:t>
            </w:r>
          </w:p>
          <w:p w:rsidR="004E1B7B" w:rsidRPr="004E1B7B" w:rsidRDefault="004E1B7B" w:rsidP="00EC671F">
            <w:pPr>
              <w:ind w:leftChars="100" w:left="732" w:hangingChars="205" w:hanging="492"/>
              <w:jc w:val="both"/>
              <w:rPr>
                <w:rFonts w:ascii="標楷體" w:eastAsia="標楷體" w:hAnsi="標楷體" w:cs="新細明體"/>
                <w:kern w:val="0"/>
              </w:rPr>
            </w:pPr>
            <w:r w:rsidRPr="004E1B7B">
              <w:rPr>
                <w:rFonts w:ascii="標楷體" w:eastAsia="標楷體" w:hAnsi="標楷體" w:cs="新細明體" w:hint="eastAsia"/>
                <w:kern w:val="0"/>
              </w:rPr>
              <w:t>一、外來憑證：自財團法人本身以外之人所取得之憑證。</w:t>
            </w:r>
          </w:p>
          <w:p w:rsidR="004E1B7B" w:rsidRPr="004E1B7B" w:rsidRDefault="004E1B7B" w:rsidP="00EC671F">
            <w:pPr>
              <w:ind w:leftChars="100" w:left="732" w:hangingChars="205" w:hanging="492"/>
              <w:jc w:val="both"/>
              <w:rPr>
                <w:rFonts w:ascii="標楷體" w:eastAsia="標楷體" w:hAnsi="標楷體" w:cs="新細明體"/>
                <w:kern w:val="0"/>
              </w:rPr>
            </w:pPr>
            <w:r w:rsidRPr="004E1B7B">
              <w:rPr>
                <w:rFonts w:ascii="標楷體" w:eastAsia="標楷體" w:hAnsi="標楷體" w:cs="新細明體" w:hint="eastAsia"/>
                <w:kern w:val="0"/>
              </w:rPr>
              <w:t>二、對外憑證：給與財團法人本身以外之人之憑證。</w:t>
            </w:r>
          </w:p>
          <w:p w:rsidR="004E1B7B" w:rsidRPr="004E1B7B" w:rsidRDefault="004E1B7B" w:rsidP="00EC671F">
            <w:pPr>
              <w:ind w:leftChars="100" w:left="732" w:hangingChars="205" w:hanging="492"/>
              <w:jc w:val="both"/>
              <w:rPr>
                <w:rFonts w:ascii="標楷體" w:eastAsia="標楷體" w:hAnsi="標楷體" w:cs="新細明體"/>
                <w:kern w:val="0"/>
              </w:rPr>
            </w:pPr>
            <w:r w:rsidRPr="004E1B7B">
              <w:rPr>
                <w:rFonts w:ascii="標楷體" w:eastAsia="標楷體" w:hAnsi="標楷體" w:cs="新細明體" w:hint="eastAsia"/>
                <w:kern w:val="0"/>
              </w:rPr>
              <w:t>三、內部憑證：由財團法人本身自行製存之憑證。</w:t>
            </w:r>
          </w:p>
          <w:p w:rsidR="004E1B7B" w:rsidRPr="004E1B7B" w:rsidRDefault="004E1B7B" w:rsidP="00EC671F">
            <w:pPr>
              <w:ind w:leftChars="100" w:left="240" w:firstLineChars="200" w:firstLine="480"/>
              <w:jc w:val="both"/>
              <w:rPr>
                <w:rFonts w:ascii="標楷體" w:eastAsia="標楷體" w:hAnsi="標楷體" w:cs="新細明體"/>
                <w:kern w:val="0"/>
              </w:rPr>
            </w:pPr>
            <w:r w:rsidRPr="004E1B7B">
              <w:rPr>
                <w:rFonts w:ascii="標楷體" w:eastAsia="標楷體" w:hAnsi="標楷體" w:cs="新細明體" w:hint="eastAsia"/>
                <w:kern w:val="0"/>
              </w:rPr>
              <w:t>前項第一款外來憑證及第二款對外憑證應記載下列事項，由開具人簽名或蓋章：</w:t>
            </w:r>
          </w:p>
          <w:p w:rsidR="004E1B7B" w:rsidRPr="004E1B7B" w:rsidRDefault="004E1B7B" w:rsidP="00EC671F">
            <w:pPr>
              <w:ind w:leftChars="100" w:left="240"/>
              <w:jc w:val="both"/>
              <w:rPr>
                <w:rFonts w:ascii="標楷體" w:eastAsia="標楷體" w:hAnsi="標楷體" w:cs="新細明體"/>
                <w:kern w:val="0"/>
              </w:rPr>
            </w:pPr>
            <w:r w:rsidRPr="004E1B7B">
              <w:rPr>
                <w:rFonts w:ascii="標楷體" w:eastAsia="標楷體" w:hAnsi="標楷體" w:cs="新細明體" w:hint="eastAsia"/>
                <w:kern w:val="0"/>
              </w:rPr>
              <w:t>一、憑證名稱。</w:t>
            </w:r>
          </w:p>
          <w:p w:rsidR="004E1B7B" w:rsidRPr="004E1B7B" w:rsidRDefault="004E1B7B" w:rsidP="00EC671F">
            <w:pPr>
              <w:ind w:leftChars="100" w:left="252" w:hangingChars="5" w:hanging="12"/>
              <w:jc w:val="both"/>
              <w:rPr>
                <w:rFonts w:ascii="標楷體" w:eastAsia="標楷體" w:hAnsi="標楷體" w:cs="新細明體"/>
                <w:kern w:val="0"/>
              </w:rPr>
            </w:pPr>
            <w:r w:rsidRPr="004E1B7B">
              <w:rPr>
                <w:rFonts w:ascii="標楷體" w:eastAsia="標楷體" w:hAnsi="標楷體" w:cs="新細明體" w:hint="eastAsia"/>
                <w:kern w:val="0"/>
              </w:rPr>
              <w:t>二、日期。</w:t>
            </w:r>
          </w:p>
          <w:p w:rsidR="004E1B7B" w:rsidRPr="004E1B7B" w:rsidRDefault="004E1B7B" w:rsidP="00EC671F">
            <w:pPr>
              <w:ind w:leftChars="100" w:left="252" w:hangingChars="5" w:hanging="12"/>
              <w:jc w:val="both"/>
              <w:rPr>
                <w:rFonts w:ascii="標楷體" w:eastAsia="標楷體" w:hAnsi="標楷體" w:cs="新細明體"/>
                <w:kern w:val="0"/>
              </w:rPr>
            </w:pPr>
            <w:r w:rsidRPr="004E1B7B">
              <w:rPr>
                <w:rFonts w:ascii="標楷體" w:eastAsia="標楷體" w:hAnsi="標楷體" w:cs="新細明體" w:hint="eastAsia"/>
                <w:kern w:val="0"/>
              </w:rPr>
              <w:t>三、交易雙方名稱及地址或統一編號。</w:t>
            </w:r>
          </w:p>
          <w:p w:rsidR="004E1B7B" w:rsidRPr="004E1B7B" w:rsidRDefault="004E1B7B" w:rsidP="00EC671F">
            <w:pPr>
              <w:ind w:leftChars="100" w:left="252" w:hangingChars="5" w:hanging="12"/>
              <w:jc w:val="both"/>
              <w:rPr>
                <w:rFonts w:ascii="標楷體" w:eastAsia="標楷體" w:hAnsi="標楷體" w:cs="新細明體"/>
                <w:kern w:val="0"/>
              </w:rPr>
            </w:pPr>
            <w:r w:rsidRPr="004E1B7B">
              <w:rPr>
                <w:rFonts w:ascii="標楷體" w:eastAsia="標楷體" w:hAnsi="標楷體" w:cs="新細明體" w:hint="eastAsia"/>
                <w:kern w:val="0"/>
              </w:rPr>
              <w:t>四、交易內容及金額。</w:t>
            </w:r>
          </w:p>
          <w:p w:rsidR="004E1B7B" w:rsidRPr="004E1B7B" w:rsidRDefault="004E1B7B" w:rsidP="00EC671F">
            <w:pPr>
              <w:ind w:leftChars="100" w:left="240" w:firstLineChars="200" w:firstLine="480"/>
              <w:jc w:val="both"/>
              <w:rPr>
                <w:rFonts w:ascii="標楷體" w:eastAsia="標楷體" w:hAnsi="標楷體"/>
              </w:rPr>
            </w:pPr>
            <w:r w:rsidRPr="004E1B7B">
              <w:rPr>
                <w:rFonts w:ascii="標楷體" w:eastAsia="標楷體" w:hAnsi="標楷體" w:cs="新細明體" w:hint="eastAsia"/>
                <w:kern w:val="0"/>
              </w:rPr>
              <w:t>第一項第三款內部憑證由財團法人根據事實及金額自行製存。</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4"/>
              </w:numPr>
              <w:kinsoku w:val="0"/>
              <w:overflowPunct w:val="0"/>
              <w:jc w:val="both"/>
              <w:textAlignment w:val="center"/>
              <w:rPr>
                <w:rFonts w:ascii="標楷體" w:eastAsia="標楷體" w:hAnsi="標楷體"/>
                <w:bCs/>
                <w:noProof/>
              </w:rPr>
            </w:pPr>
            <w:r w:rsidRPr="004E1B7B">
              <w:rPr>
                <w:rFonts w:ascii="標楷體" w:eastAsia="標楷體" w:hAnsi="標楷體" w:hint="eastAsia"/>
                <w:bCs/>
                <w:noProof/>
              </w:rPr>
              <w:t>訂定原始憑證種類、內涵及應記載事項。</w:t>
            </w:r>
          </w:p>
          <w:p w:rsidR="004E1B7B" w:rsidRPr="004E1B7B" w:rsidRDefault="004E1B7B" w:rsidP="0062085D">
            <w:pPr>
              <w:numPr>
                <w:ilvl w:val="0"/>
                <w:numId w:val="4"/>
              </w:numPr>
              <w:jc w:val="both"/>
              <w:rPr>
                <w:rFonts w:ascii="標楷體" w:eastAsia="標楷體" w:hAnsi="標楷體"/>
                <w:snapToGrid w:val="0"/>
              </w:rPr>
            </w:pPr>
            <w:r w:rsidRPr="004E1B7B">
              <w:rPr>
                <w:rFonts w:ascii="標楷體" w:eastAsia="標楷體" w:hAnsi="標楷體" w:hint="eastAsia"/>
              </w:rPr>
              <w:t>參考全國性內政財團法人會計處理及財務報告編製準則第四條規定。</w:t>
            </w:r>
          </w:p>
          <w:p w:rsidR="004E1B7B" w:rsidRPr="004E1B7B" w:rsidRDefault="004E1B7B" w:rsidP="00EC671F">
            <w:pPr>
              <w:kinsoku w:val="0"/>
              <w:overflowPunct w:val="0"/>
              <w:ind w:left="480"/>
              <w:jc w:val="both"/>
              <w:textAlignment w:val="center"/>
              <w:rPr>
                <w:rFonts w:ascii="標楷體" w:eastAsia="標楷體" w:hAnsi="標楷體"/>
                <w:bCs/>
                <w:noProof/>
              </w:rPr>
            </w:pPr>
          </w:p>
          <w:p w:rsidR="004E1B7B" w:rsidRPr="004E1B7B" w:rsidRDefault="004E1B7B" w:rsidP="00EC671F">
            <w:pPr>
              <w:kinsoku w:val="0"/>
              <w:overflowPunct w:val="0"/>
              <w:jc w:val="both"/>
              <w:textAlignment w:val="center"/>
              <w:rPr>
                <w:rFonts w:ascii="標楷體" w:eastAsia="標楷體" w:hAnsi="標楷體"/>
                <w:bCs/>
                <w:noProof/>
              </w:rPr>
            </w:pPr>
          </w:p>
        </w:tc>
      </w:tr>
      <w:tr w:rsidR="004E1B7B" w:rsidRPr="004E1B7B" w:rsidTr="00EC671F">
        <w:trPr>
          <w:trHeight w:val="1983"/>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hangingChars="105" w:hanging="252"/>
              <w:rPr>
                <w:rFonts w:ascii="標楷體" w:eastAsia="標楷體" w:hAnsi="標楷體"/>
              </w:rPr>
            </w:pPr>
            <w:r w:rsidRPr="004E1B7B">
              <w:rPr>
                <w:rFonts w:ascii="標楷體" w:eastAsia="標楷體" w:hAnsi="標楷體" w:hint="eastAsia"/>
              </w:rPr>
              <w:t>第八條　記帳憑證分為下列三類：</w:t>
            </w:r>
          </w:p>
          <w:p w:rsidR="004E1B7B" w:rsidRPr="004E1B7B" w:rsidRDefault="004E1B7B" w:rsidP="00EC67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52" w:hangingChars="5" w:hanging="12"/>
              <w:rPr>
                <w:rFonts w:ascii="標楷體" w:eastAsia="標楷體" w:hAnsi="標楷體"/>
              </w:rPr>
            </w:pPr>
            <w:r w:rsidRPr="004E1B7B">
              <w:rPr>
                <w:rFonts w:ascii="標楷體" w:eastAsia="標楷體" w:hAnsi="標楷體" w:hint="eastAsia"/>
              </w:rPr>
              <w:t>一、收入傳票。</w:t>
            </w:r>
          </w:p>
          <w:p w:rsidR="004E1B7B" w:rsidRPr="004E1B7B" w:rsidRDefault="004E1B7B" w:rsidP="00EC67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52" w:hangingChars="5" w:hanging="12"/>
              <w:rPr>
                <w:rFonts w:ascii="標楷體" w:eastAsia="標楷體" w:hAnsi="標楷體"/>
              </w:rPr>
            </w:pPr>
            <w:r w:rsidRPr="004E1B7B">
              <w:rPr>
                <w:rFonts w:ascii="標楷體" w:eastAsia="標楷體" w:hAnsi="標楷體" w:hint="eastAsia"/>
              </w:rPr>
              <w:t>二、支出傳票。</w:t>
            </w:r>
          </w:p>
          <w:p w:rsidR="004E1B7B" w:rsidRPr="004E1B7B" w:rsidRDefault="004E1B7B" w:rsidP="00EC67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52" w:hangingChars="5" w:hanging="12"/>
              <w:rPr>
                <w:rFonts w:ascii="標楷體" w:eastAsia="標楷體" w:hAnsi="標楷體"/>
              </w:rPr>
            </w:pPr>
            <w:r w:rsidRPr="004E1B7B">
              <w:rPr>
                <w:rFonts w:ascii="標楷體" w:eastAsia="標楷體" w:hAnsi="標楷體" w:hint="eastAsia"/>
              </w:rPr>
              <w:t>三、轉帳傳票。</w:t>
            </w:r>
          </w:p>
          <w:p w:rsidR="004E1B7B" w:rsidRPr="004E1B7B" w:rsidRDefault="004E1B7B" w:rsidP="00EC671F">
            <w:pPr>
              <w:ind w:leftChars="99" w:left="238" w:firstLineChars="200" w:firstLine="480"/>
              <w:jc w:val="both"/>
              <w:rPr>
                <w:rFonts w:ascii="標楷體" w:eastAsia="標楷體" w:hAnsi="標楷體"/>
              </w:rPr>
            </w:pPr>
            <w:r w:rsidRPr="004E1B7B">
              <w:rPr>
                <w:rFonts w:ascii="標楷體" w:eastAsia="標楷體" w:hAnsi="標楷體" w:hint="eastAsia"/>
              </w:rPr>
              <w:t>前項各款傳票，得以顏色或其他方法區別之。</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5"/>
              </w:numPr>
              <w:jc w:val="both"/>
              <w:rPr>
                <w:rFonts w:ascii="標楷體" w:eastAsia="標楷體" w:hAnsi="標楷體"/>
              </w:rPr>
            </w:pPr>
            <w:r w:rsidRPr="004E1B7B">
              <w:rPr>
                <w:rFonts w:ascii="標楷體" w:eastAsia="標楷體" w:hAnsi="標楷體" w:hint="eastAsia"/>
              </w:rPr>
              <w:t>訂定記帳憑證種類及區別各類記帳憑證之方法。</w:t>
            </w:r>
          </w:p>
          <w:p w:rsidR="004E1B7B" w:rsidRPr="004E1B7B" w:rsidRDefault="004E1B7B" w:rsidP="0062085D">
            <w:pPr>
              <w:numPr>
                <w:ilvl w:val="0"/>
                <w:numId w:val="5"/>
              </w:numPr>
              <w:jc w:val="both"/>
              <w:rPr>
                <w:rFonts w:ascii="標楷體" w:eastAsia="標楷體" w:hAnsi="標楷體"/>
                <w:snapToGrid w:val="0"/>
              </w:rPr>
            </w:pPr>
            <w:r w:rsidRPr="004E1B7B">
              <w:rPr>
                <w:rFonts w:ascii="標楷體" w:eastAsia="標楷體" w:hAnsi="標楷體" w:hint="eastAsia"/>
              </w:rPr>
              <w:t>參考全國性內政財團法人會計處理及財務報告編製準則第五條規定</w:t>
            </w:r>
          </w:p>
          <w:p w:rsidR="004E1B7B" w:rsidRPr="004E1B7B" w:rsidRDefault="004E1B7B" w:rsidP="00EC671F">
            <w:pPr>
              <w:jc w:val="both"/>
              <w:rPr>
                <w:rFonts w:ascii="標楷體" w:eastAsia="標楷體" w:hAnsi="標楷體"/>
              </w:rPr>
            </w:pPr>
          </w:p>
        </w:tc>
      </w:tr>
      <w:tr w:rsidR="004E1B7B" w:rsidRPr="004E1B7B" w:rsidTr="00EC671F">
        <w:trPr>
          <w:trHeight w:val="1841"/>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240" w:hangingChars="100" w:hanging="240"/>
              <w:jc w:val="both"/>
              <w:rPr>
                <w:rFonts w:ascii="標楷體" w:eastAsia="標楷體" w:hAnsi="標楷體"/>
              </w:rPr>
            </w:pPr>
            <w:r w:rsidRPr="004E1B7B">
              <w:rPr>
                <w:rFonts w:ascii="標楷體" w:eastAsia="標楷體" w:hAnsi="標楷體" w:hint="eastAsia"/>
              </w:rPr>
              <w:t>第九條　記帳憑證之內容應包括財團法人名稱、傳票名稱、日期、傳票號碼、</w:t>
            </w:r>
            <w:bookmarkStart w:id="1" w:name="_Hlk17902888"/>
            <w:r w:rsidRPr="004E1B7B">
              <w:rPr>
                <w:rFonts w:ascii="標楷體" w:eastAsia="標楷體" w:hAnsi="標楷體" w:hint="eastAsia"/>
              </w:rPr>
              <w:t>會計項目名稱、摘要及金額，並經財團法人董事長、執行長或與執行長職位相當之人、主辦或經辦會計人員簽名或蓋章。</w:t>
            </w:r>
            <w:bookmarkEnd w:id="1"/>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13"/>
              </w:numPr>
              <w:spacing w:line="240" w:lineRule="atLeast"/>
              <w:rPr>
                <w:rFonts w:ascii="標楷體" w:eastAsia="標楷體" w:hAnsi="標楷體" w:cs="標楷體"/>
              </w:rPr>
            </w:pPr>
            <w:r w:rsidRPr="004E1B7B">
              <w:rPr>
                <w:rFonts w:ascii="標楷體" w:eastAsia="標楷體" w:hAnsi="標楷體" w:cs="標楷體" w:hint="eastAsia"/>
              </w:rPr>
              <w:t>訂定記帳憑證應記載內容，並應經董事長等人員簽名或蓋章。</w:t>
            </w:r>
          </w:p>
          <w:p w:rsidR="004E1B7B" w:rsidRPr="004E1B7B" w:rsidRDefault="004E1B7B" w:rsidP="0062085D">
            <w:pPr>
              <w:pStyle w:val="Standard"/>
              <w:numPr>
                <w:ilvl w:val="0"/>
                <w:numId w:val="13"/>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參考全國性內政財團法人會計處理及財務報告編製準則第六條規定。</w:t>
            </w:r>
          </w:p>
        </w:tc>
      </w:tr>
      <w:tr w:rsidR="004E1B7B" w:rsidRPr="004E1B7B" w:rsidTr="00EC671F">
        <w:trPr>
          <w:trHeight w:val="2956"/>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Chars="-11" w:left="238" w:hangingChars="110" w:hanging="264"/>
              <w:jc w:val="both"/>
              <w:rPr>
                <w:rFonts w:ascii="標楷體" w:eastAsia="標楷體" w:hAnsi="標楷體"/>
                <w:snapToGrid w:val="0"/>
                <w:kern w:val="0"/>
              </w:rPr>
            </w:pPr>
            <w:r w:rsidRPr="004E1B7B">
              <w:rPr>
                <w:rFonts w:ascii="標楷體" w:eastAsia="標楷體" w:hAnsi="標楷體" w:hint="eastAsia"/>
                <w:snapToGrid w:val="0"/>
                <w:kern w:val="0"/>
              </w:rPr>
              <w:lastRenderedPageBreak/>
              <w:t>第</w:t>
            </w:r>
            <w:r w:rsidRPr="004E1B7B">
              <w:rPr>
                <w:rFonts w:ascii="標楷體" w:eastAsia="標楷體" w:hAnsi="標楷體" w:hint="eastAsia"/>
              </w:rPr>
              <w:t>十</w:t>
            </w:r>
            <w:r w:rsidRPr="004E1B7B">
              <w:rPr>
                <w:rFonts w:ascii="標楷體" w:eastAsia="標楷體" w:hAnsi="標楷體" w:hint="eastAsia"/>
                <w:snapToGrid w:val="0"/>
                <w:kern w:val="0"/>
              </w:rPr>
              <w:t>條　財團法人非根據真實事項，不得造具任何會計憑證，並不得登入會計帳簿。但整理結算及結算後轉入帳目等事項無原始憑證者，不在此限。</w:t>
            </w:r>
          </w:p>
          <w:p w:rsidR="004E1B7B" w:rsidRPr="004E1B7B" w:rsidRDefault="004E1B7B" w:rsidP="00EC671F">
            <w:pPr>
              <w:ind w:leftChars="89" w:left="214" w:firstLineChars="200" w:firstLine="480"/>
              <w:jc w:val="both"/>
              <w:rPr>
                <w:rFonts w:ascii="標楷體" w:eastAsia="標楷體" w:hAnsi="標楷體"/>
                <w:snapToGrid w:val="0"/>
                <w:kern w:val="0"/>
              </w:rPr>
            </w:pPr>
            <w:r w:rsidRPr="004E1B7B">
              <w:rPr>
                <w:rFonts w:ascii="標楷體" w:eastAsia="標楷體" w:hAnsi="標楷體" w:hint="eastAsia"/>
                <w:snapToGrid w:val="0"/>
                <w:kern w:val="0"/>
              </w:rPr>
              <w:t>會計事務簡單或原始憑證已符合前條記帳憑證之要件者，得以原始憑證代替記帳憑證。</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480" w:hangingChars="200" w:hanging="480"/>
              <w:rPr>
                <w:rFonts w:ascii="標楷體" w:eastAsia="標楷體" w:hAnsi="標楷體" w:cs="Arial"/>
              </w:rPr>
            </w:pPr>
            <w:r w:rsidRPr="004E1B7B">
              <w:rPr>
                <w:rFonts w:ascii="標楷體" w:eastAsia="標楷體" w:hAnsi="標楷體" w:cs="Arial" w:hint="eastAsia"/>
              </w:rPr>
              <w:t>一、訂定會計處理之程序原則及得以原始憑證代替記帳憑證之要件。</w:t>
            </w:r>
          </w:p>
          <w:p w:rsidR="004E1B7B" w:rsidRPr="004E1B7B" w:rsidRDefault="004E1B7B" w:rsidP="00EC671F">
            <w:pPr>
              <w:ind w:left="480" w:hangingChars="200" w:hanging="480"/>
              <w:rPr>
                <w:rFonts w:ascii="標楷體" w:eastAsia="標楷體" w:hAnsi="標楷體" w:cs="Arial"/>
              </w:rPr>
            </w:pPr>
            <w:r w:rsidRPr="004E1B7B">
              <w:rPr>
                <w:rFonts w:ascii="標楷體" w:eastAsia="標楷體" w:hAnsi="標楷體" w:cs="Arial" w:hint="eastAsia"/>
              </w:rPr>
              <w:t>二、整理結算及結算後轉入帳目等事項，例如每月、每季、每半年或年度終了時辦理帳目結算或結帳等，因已有帳載數據為憑，爰得據以造具會計憑證並登入會計帳簿。</w:t>
            </w:r>
          </w:p>
          <w:p w:rsidR="004E1B7B" w:rsidRPr="004E1B7B" w:rsidRDefault="004E1B7B" w:rsidP="0062085D">
            <w:pPr>
              <w:numPr>
                <w:ilvl w:val="0"/>
                <w:numId w:val="4"/>
              </w:numPr>
              <w:jc w:val="both"/>
              <w:rPr>
                <w:rFonts w:ascii="標楷體" w:eastAsia="標楷體" w:hAnsi="標楷體"/>
                <w:snapToGrid w:val="0"/>
              </w:rPr>
            </w:pPr>
            <w:r w:rsidRPr="004E1B7B">
              <w:rPr>
                <w:rFonts w:ascii="標楷體" w:eastAsia="標楷體" w:hAnsi="標楷體" w:hint="eastAsia"/>
              </w:rPr>
              <w:t>參考全國性內政財團法人會計處理及財務報告編製準則第七條規定。</w:t>
            </w:r>
          </w:p>
        </w:tc>
      </w:tr>
      <w:tr w:rsidR="004E1B7B" w:rsidRPr="004E1B7B" w:rsidTr="00EC671F">
        <w:trPr>
          <w:trHeight w:val="2536"/>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252" w:hangingChars="105" w:hanging="252"/>
              <w:rPr>
                <w:rFonts w:ascii="標楷體" w:eastAsia="標楷體" w:hAnsi="標楷體"/>
              </w:rPr>
            </w:pPr>
            <w:r w:rsidRPr="004E1B7B">
              <w:rPr>
                <w:rFonts w:ascii="標楷體" w:eastAsia="標楷體" w:hAnsi="標楷體" w:hint="eastAsia"/>
                <w:snapToGrid w:val="0"/>
                <w:kern w:val="0"/>
              </w:rPr>
              <w:t>第</w:t>
            </w:r>
            <w:r w:rsidRPr="004E1B7B">
              <w:rPr>
                <w:rFonts w:ascii="標楷體" w:eastAsia="標楷體" w:hAnsi="標楷體" w:hint="eastAsia"/>
              </w:rPr>
              <w:t>十一</w:t>
            </w:r>
            <w:r w:rsidRPr="004E1B7B">
              <w:rPr>
                <w:rFonts w:ascii="標楷體" w:eastAsia="標楷體" w:hAnsi="標楷體" w:hint="eastAsia"/>
                <w:snapToGrid w:val="0"/>
                <w:kern w:val="0"/>
              </w:rPr>
              <w:t xml:space="preserve">條　</w:t>
            </w:r>
            <w:bookmarkStart w:id="2" w:name="_Hlk17902914"/>
            <w:r w:rsidRPr="004E1B7B">
              <w:rPr>
                <w:rFonts w:ascii="標楷體" w:eastAsia="標楷體" w:hAnsi="標楷體" w:hint="eastAsia"/>
                <w:snapToGrid w:val="0"/>
                <w:kern w:val="0"/>
              </w:rPr>
              <w:t>記帳</w:t>
            </w:r>
            <w:r w:rsidRPr="004E1B7B">
              <w:rPr>
                <w:rFonts w:ascii="標楷體" w:eastAsia="標楷體" w:hAnsi="標楷體" w:hint="eastAsia"/>
              </w:rPr>
              <w:t>憑證應按日或按月彙訂成冊，加製封面，封面上應記明冊號、起訖日期、頁數，由財團法人董事長、執行長或與執行長職位相當之人</w:t>
            </w:r>
            <w:bookmarkEnd w:id="2"/>
            <w:r w:rsidRPr="004E1B7B">
              <w:rPr>
                <w:rFonts w:ascii="標楷體" w:eastAsia="標楷體" w:hAnsi="標楷體" w:hint="eastAsia"/>
              </w:rPr>
              <w:t>及主辦或經辦會計人員簽名或蓋章，妥善保管，並編製目錄備查。保管期限屆滿，經財團法人董事長核准，得予以銷毀。</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480" w:hangingChars="200" w:hanging="480"/>
              <w:rPr>
                <w:rFonts w:ascii="標楷體" w:eastAsia="標楷體" w:hAnsi="標楷體" w:cs="Arial"/>
              </w:rPr>
            </w:pPr>
            <w:r w:rsidRPr="004E1B7B">
              <w:rPr>
                <w:rFonts w:ascii="標楷體" w:eastAsia="標楷體" w:hAnsi="標楷體" w:cs="Arial" w:hint="eastAsia"/>
              </w:rPr>
              <w:t>一、訂定</w:t>
            </w:r>
            <w:r w:rsidRPr="004E1B7B">
              <w:rPr>
                <w:rFonts w:ascii="標楷體" w:eastAsia="標楷體" w:hAnsi="標楷體" w:hint="eastAsia"/>
                <w:snapToGrid w:val="0"/>
                <w:kern w:val="0"/>
              </w:rPr>
              <w:t>記帳</w:t>
            </w:r>
            <w:r w:rsidRPr="004E1B7B">
              <w:rPr>
                <w:rFonts w:ascii="標楷體" w:eastAsia="標楷體" w:hAnsi="標楷體" w:cs="Arial" w:hint="eastAsia"/>
              </w:rPr>
              <w:t>憑證應彙訂成冊保管及其銷毀程序。</w:t>
            </w:r>
          </w:p>
          <w:p w:rsidR="004E1B7B" w:rsidRPr="004E1B7B" w:rsidRDefault="004E1B7B" w:rsidP="00EC671F">
            <w:pPr>
              <w:ind w:left="480" w:hangingChars="200" w:hanging="480"/>
              <w:rPr>
                <w:rFonts w:ascii="標楷體" w:eastAsia="標楷體" w:hAnsi="標楷體" w:cs="Arial"/>
              </w:rPr>
            </w:pPr>
            <w:r w:rsidRPr="004E1B7B">
              <w:rPr>
                <w:rFonts w:ascii="標楷體" w:eastAsia="標楷體" w:hAnsi="標楷體" w:cs="Arial" w:hint="eastAsia"/>
              </w:rPr>
              <w:t>二、</w:t>
            </w:r>
            <w:r w:rsidRPr="004E1B7B">
              <w:rPr>
                <w:rFonts w:ascii="標楷體" w:eastAsia="標楷體" w:hAnsi="標楷體" w:hint="eastAsia"/>
                <w:snapToGrid w:val="0"/>
                <w:kern w:val="0"/>
              </w:rPr>
              <w:t>記帳</w:t>
            </w:r>
            <w:r w:rsidRPr="004E1B7B">
              <w:rPr>
                <w:rFonts w:ascii="標楷體" w:eastAsia="標楷體" w:hAnsi="標楷體" w:cs="Arial" w:hint="eastAsia"/>
              </w:rPr>
              <w:t>憑證封面應經董事長等人員簽名或蓋章。</w:t>
            </w:r>
          </w:p>
          <w:p w:rsidR="004E1B7B" w:rsidRPr="004E1B7B" w:rsidRDefault="004E1B7B" w:rsidP="00EC671F">
            <w:pPr>
              <w:ind w:left="480" w:hangingChars="200" w:hanging="480"/>
              <w:rPr>
                <w:rFonts w:ascii="標楷體" w:eastAsia="標楷體" w:hAnsi="標楷體" w:cs="Arial"/>
              </w:rPr>
            </w:pPr>
            <w:r w:rsidRPr="004E1B7B">
              <w:rPr>
                <w:rFonts w:ascii="標楷體" w:eastAsia="標楷體" w:hAnsi="標楷體" w:cs="Arial" w:hint="eastAsia"/>
              </w:rPr>
              <w:t>三、</w:t>
            </w:r>
            <w:r w:rsidRPr="004E1B7B">
              <w:rPr>
                <w:rFonts w:ascii="標楷體" w:eastAsia="標楷體" w:hAnsi="標楷體" w:hint="eastAsia"/>
                <w:snapToGrid w:val="0"/>
                <w:kern w:val="0"/>
              </w:rPr>
              <w:t>記帳</w:t>
            </w:r>
            <w:r w:rsidRPr="004E1B7B">
              <w:rPr>
                <w:rFonts w:ascii="標楷體" w:eastAsia="標楷體" w:hAnsi="標楷體" w:cs="Arial" w:hint="eastAsia"/>
              </w:rPr>
              <w:t>憑證為記載會計帳簿及編製財務報告等會計處理過程之基礎憑據，且涉及相關人員之財務權責，爰其銷毀應經董事長核准。</w:t>
            </w:r>
          </w:p>
        </w:tc>
      </w:tr>
      <w:tr w:rsidR="004E1B7B" w:rsidRPr="004E1B7B" w:rsidTr="00EC671F">
        <w:trPr>
          <w:trHeight w:val="1281"/>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第十二條　原始憑證應附於記帳憑證之後，其另行裝訂保管較便者，仍應互註日期、編號、保管人、保管處所及編製目錄備查。</w:t>
            </w:r>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14"/>
              </w:numPr>
              <w:spacing w:line="240" w:lineRule="atLeast"/>
              <w:rPr>
                <w:rFonts w:ascii="標楷體" w:eastAsia="標楷體" w:hAnsi="標楷體" w:cs="標楷體"/>
              </w:rPr>
            </w:pPr>
            <w:r w:rsidRPr="004E1B7B">
              <w:rPr>
                <w:rFonts w:ascii="標楷體" w:eastAsia="標楷體" w:hAnsi="標楷體" w:cs="標楷體" w:hint="eastAsia"/>
              </w:rPr>
              <w:t>訂定原始憑證之保管原則。</w:t>
            </w:r>
          </w:p>
          <w:p w:rsidR="004E1B7B" w:rsidRPr="004E1B7B" w:rsidRDefault="004E1B7B" w:rsidP="0062085D">
            <w:pPr>
              <w:pStyle w:val="Standard"/>
              <w:numPr>
                <w:ilvl w:val="0"/>
                <w:numId w:val="14"/>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參考全國性內政財團法人會計處理及財務報告編製準則第九條規定</w:t>
            </w:r>
          </w:p>
        </w:tc>
      </w:tr>
      <w:tr w:rsidR="004E1B7B" w:rsidRPr="004E1B7B" w:rsidTr="00EC671F">
        <w:trPr>
          <w:trHeight w:val="1541"/>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第十三條　會計帳簿分為下列二類：</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一、序時帳簿：以事項發生之時序為主而為紀錄之帳簿。</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二、分類帳簿：以事項歸屬之會計項目為主而為紀錄之帳簿。</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15"/>
              </w:numPr>
              <w:spacing w:line="240" w:lineRule="atLeast"/>
              <w:rPr>
                <w:rFonts w:ascii="標楷體" w:eastAsia="標楷體" w:hAnsi="標楷體" w:cs="標楷體"/>
              </w:rPr>
            </w:pPr>
            <w:r w:rsidRPr="004E1B7B">
              <w:rPr>
                <w:rFonts w:ascii="標楷體" w:eastAsia="標楷體" w:hAnsi="標楷體" w:cs="標楷體" w:hint="eastAsia"/>
              </w:rPr>
              <w:t>訂定會計帳簿種類及其內涵。</w:t>
            </w:r>
          </w:p>
          <w:p w:rsidR="004E1B7B" w:rsidRPr="004E1B7B" w:rsidRDefault="004E1B7B" w:rsidP="0062085D">
            <w:pPr>
              <w:pStyle w:val="Standard"/>
              <w:numPr>
                <w:ilvl w:val="0"/>
                <w:numId w:val="15"/>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參考全國性內政財團法人會計處理及財務報告編製準則第十條規定。</w:t>
            </w: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3539"/>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第十四條　分類帳簿分為下列二類：</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一、總分類帳簿：對於一切事項為總括之分類登記，以編造會計報告總表為主要目的而設之帳簿。</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二、明細分類帳簿：對於特種事項為明細分類或分戶之登記，以編造會計報告明細表為主要目的而設之帳簿。</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總分類帳及明細分類帳應有統制隸屬之關係，各有關帳戶之金額應相互勾稽。</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480" w:hangingChars="200" w:hanging="480"/>
              <w:rPr>
                <w:rFonts w:ascii="標楷體" w:eastAsia="標楷體" w:hAnsi="標楷體"/>
                <w:snapToGrid w:val="0"/>
                <w:kern w:val="0"/>
              </w:rPr>
            </w:pPr>
            <w:r w:rsidRPr="004E1B7B">
              <w:rPr>
                <w:rFonts w:ascii="標楷體" w:eastAsia="標楷體" w:hAnsi="標楷體" w:hint="eastAsia"/>
                <w:snapToGrid w:val="0"/>
                <w:kern w:val="0"/>
              </w:rPr>
              <w:t>一、訂定分類帳簿種類及其應有之統制隸屬關係。</w:t>
            </w:r>
          </w:p>
          <w:p w:rsidR="004E1B7B" w:rsidRPr="004E1B7B" w:rsidRDefault="004E1B7B" w:rsidP="00EC671F">
            <w:pPr>
              <w:rPr>
                <w:rFonts w:ascii="標楷體" w:eastAsia="標楷體" w:hAnsi="標楷體"/>
                <w:snapToGrid w:val="0"/>
                <w:kern w:val="0"/>
              </w:rPr>
            </w:pPr>
            <w:r w:rsidRPr="004E1B7B">
              <w:rPr>
                <w:rFonts w:ascii="標楷體" w:eastAsia="標楷體" w:hAnsi="標楷體" w:hint="eastAsia"/>
                <w:snapToGrid w:val="0"/>
                <w:kern w:val="0"/>
              </w:rPr>
              <w:t>二、參考會計法第四十四條規定。</w:t>
            </w:r>
          </w:p>
        </w:tc>
      </w:tr>
      <w:tr w:rsidR="004E1B7B" w:rsidRPr="004E1B7B" w:rsidTr="00EC671F">
        <w:trPr>
          <w:trHeight w:val="914"/>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第十五條　財團法人應設置序時帳簿及總分類帳簿，並得按事實需要設置明細分類帳簿。</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16"/>
              </w:numPr>
              <w:spacing w:line="240" w:lineRule="atLeast"/>
              <w:rPr>
                <w:rFonts w:ascii="標楷體" w:eastAsia="標楷體" w:hAnsi="標楷體" w:cs="標楷體"/>
              </w:rPr>
            </w:pPr>
            <w:r w:rsidRPr="004E1B7B">
              <w:rPr>
                <w:rFonts w:ascii="標楷體" w:eastAsia="標楷體" w:hAnsi="標楷體" w:cs="標楷體" w:hint="eastAsia"/>
              </w:rPr>
              <w:t>訂定財團法人應設置之帳簿。</w:t>
            </w:r>
          </w:p>
          <w:p w:rsidR="004E1B7B" w:rsidRPr="004E1B7B" w:rsidRDefault="004E1B7B" w:rsidP="0062085D">
            <w:pPr>
              <w:pStyle w:val="Standard"/>
              <w:numPr>
                <w:ilvl w:val="0"/>
                <w:numId w:val="16"/>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參考全國性內政財團法人會計處理及財務報告編製準則第十二條規定。</w:t>
            </w:r>
          </w:p>
        </w:tc>
      </w:tr>
      <w:tr w:rsidR="004E1B7B" w:rsidRPr="004E1B7B" w:rsidTr="00EC671F">
        <w:trPr>
          <w:trHeight w:val="1970"/>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第十六條　財團法人應設置會計帳簿目錄，記明其設置使用之帳簿名稱、性質、啟用、經管、停用紀錄，並由財團法人董事長</w:t>
            </w:r>
            <w:bookmarkStart w:id="3" w:name="_Hlk17902965"/>
            <w:r w:rsidRPr="004E1B7B">
              <w:rPr>
                <w:rFonts w:ascii="標楷體" w:eastAsia="標楷體" w:hAnsi="標楷體" w:hint="eastAsia"/>
              </w:rPr>
              <w:t>、執行長或與執行長職位相當之人</w:t>
            </w:r>
            <w:bookmarkEnd w:id="3"/>
            <w:r w:rsidRPr="004E1B7B">
              <w:rPr>
                <w:rFonts w:ascii="標楷體" w:eastAsia="標楷體" w:hAnsi="標楷體" w:hint="eastAsia"/>
              </w:rPr>
              <w:t>及主辦會計人員簽名或蓋章。</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ind w:left="480" w:hangingChars="200" w:hanging="480"/>
              <w:rPr>
                <w:rFonts w:ascii="標楷體" w:eastAsia="標楷體" w:hAnsi="標楷體"/>
                <w:snapToGrid w:val="0"/>
                <w:kern w:val="0"/>
              </w:rPr>
            </w:pPr>
            <w:r w:rsidRPr="004E1B7B">
              <w:rPr>
                <w:rFonts w:ascii="標楷體" w:eastAsia="標楷體" w:hAnsi="標楷體" w:hint="eastAsia"/>
                <w:snapToGrid w:val="0"/>
                <w:kern w:val="0"/>
              </w:rPr>
              <w:t>一、訂定財團法人應設置會計帳簿目錄及其應記載事項。</w:t>
            </w:r>
          </w:p>
          <w:p w:rsidR="004E1B7B" w:rsidRPr="004E1B7B" w:rsidRDefault="004E1B7B" w:rsidP="00EC671F">
            <w:pPr>
              <w:ind w:left="480" w:hangingChars="200" w:hanging="480"/>
              <w:rPr>
                <w:rFonts w:ascii="標楷體" w:eastAsia="標楷體" w:hAnsi="標楷體"/>
                <w:snapToGrid w:val="0"/>
                <w:kern w:val="0"/>
              </w:rPr>
            </w:pPr>
            <w:r w:rsidRPr="004E1B7B">
              <w:rPr>
                <w:rFonts w:ascii="標楷體" w:eastAsia="標楷體" w:hAnsi="標楷體" w:hint="eastAsia"/>
                <w:snapToGrid w:val="0"/>
                <w:kern w:val="0"/>
              </w:rPr>
              <w:t>二、會計帳簿目錄應經董事長等人員簽</w:t>
            </w:r>
            <w:r w:rsidRPr="004E1B7B">
              <w:rPr>
                <w:rFonts w:ascii="標楷體" w:eastAsia="標楷體" w:hAnsi="標楷體" w:hint="eastAsia"/>
              </w:rPr>
              <w:t>名</w:t>
            </w:r>
            <w:r w:rsidRPr="004E1B7B">
              <w:rPr>
                <w:rFonts w:ascii="標楷體" w:eastAsia="標楷體" w:hAnsi="標楷體" w:hint="eastAsia"/>
                <w:snapToGrid w:val="0"/>
                <w:kern w:val="0"/>
              </w:rPr>
              <w:t>或蓋章。</w:t>
            </w:r>
          </w:p>
          <w:p w:rsidR="004E1B7B" w:rsidRPr="004E1B7B" w:rsidRDefault="004E1B7B" w:rsidP="00EC671F">
            <w:pPr>
              <w:ind w:left="480" w:hangingChars="200" w:hanging="480"/>
              <w:rPr>
                <w:rFonts w:ascii="標楷體" w:eastAsia="標楷體" w:hAnsi="標楷體"/>
                <w:snapToGrid w:val="0"/>
                <w:kern w:val="0"/>
              </w:rPr>
            </w:pPr>
            <w:r w:rsidRPr="004E1B7B">
              <w:rPr>
                <w:rFonts w:ascii="標楷體" w:eastAsia="標楷體" w:hAnsi="標楷體" w:hint="eastAsia"/>
              </w:rPr>
              <w:t>三、參考全國性內政財團法人會計處理及財務報告編製準則第十三條規定</w:t>
            </w:r>
          </w:p>
        </w:tc>
      </w:tr>
      <w:tr w:rsidR="004E1B7B" w:rsidRPr="004E1B7B" w:rsidTr="00EC671F">
        <w:trPr>
          <w:trHeight w:val="936"/>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第十七條　會計帳簿之帳頁，均應順序編號，不得撕毀。總分類帳簿及明細分類帳簿，並應在帳簿前加一目次。</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9"/>
              </w:numPr>
              <w:rPr>
                <w:rFonts w:ascii="標楷體" w:eastAsia="標楷體" w:hAnsi="標楷體"/>
                <w:snapToGrid w:val="0"/>
                <w:kern w:val="0"/>
              </w:rPr>
            </w:pPr>
            <w:r w:rsidRPr="004E1B7B">
              <w:rPr>
                <w:rFonts w:ascii="標楷體" w:eastAsia="標楷體" w:hAnsi="標楷體" w:hint="eastAsia"/>
                <w:snapToGrid w:val="0"/>
                <w:kern w:val="0"/>
              </w:rPr>
              <w:t>訂定會計帳簿之帳頁編號原則。</w:t>
            </w:r>
          </w:p>
          <w:p w:rsidR="004E1B7B" w:rsidRPr="004E1B7B" w:rsidRDefault="004E1B7B" w:rsidP="0062085D">
            <w:pPr>
              <w:numPr>
                <w:ilvl w:val="0"/>
                <w:numId w:val="9"/>
              </w:numPr>
              <w:rPr>
                <w:rFonts w:ascii="標楷體" w:eastAsia="標楷體" w:hAnsi="標楷體"/>
                <w:snapToGrid w:val="0"/>
                <w:kern w:val="0"/>
              </w:rPr>
            </w:pPr>
            <w:r w:rsidRPr="004E1B7B">
              <w:rPr>
                <w:rFonts w:ascii="標楷體" w:eastAsia="標楷體" w:hAnsi="標楷體" w:hint="eastAsia"/>
              </w:rPr>
              <w:t>參考全國性內政財團法人會計處理及財務報告編製準則第十四條規定</w:t>
            </w:r>
            <w:r w:rsidRPr="004E1B7B">
              <w:rPr>
                <w:rFonts w:ascii="標楷體" w:eastAsia="標楷體" w:hAnsi="標楷體" w:hint="eastAsia"/>
                <w:snapToGrid w:val="0"/>
                <w:kern w:val="0"/>
              </w:rPr>
              <w:t>。</w:t>
            </w:r>
          </w:p>
        </w:tc>
      </w:tr>
      <w:tr w:rsidR="004E1B7B" w:rsidRPr="004E1B7B" w:rsidTr="00EC671F">
        <w:trPr>
          <w:trHeight w:val="1402"/>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第十八條　會計帳簿之記載務求詳實迅速，並應日清月結，不得積壓。</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10"/>
              </w:numPr>
              <w:rPr>
                <w:rFonts w:ascii="標楷體" w:eastAsia="標楷體" w:hAnsi="標楷體"/>
                <w:snapToGrid w:val="0"/>
                <w:kern w:val="0"/>
              </w:rPr>
            </w:pPr>
            <w:r w:rsidRPr="004E1B7B">
              <w:rPr>
                <w:rFonts w:ascii="標楷體" w:eastAsia="標楷體" w:hAnsi="標楷體" w:hint="eastAsia"/>
                <w:snapToGrid w:val="0"/>
                <w:kern w:val="0"/>
              </w:rPr>
              <w:t>訂定會計帳簿之記載應日清月結，不得積壓。</w:t>
            </w:r>
          </w:p>
          <w:p w:rsidR="004E1B7B" w:rsidRPr="004E1B7B" w:rsidRDefault="004E1B7B" w:rsidP="0062085D">
            <w:pPr>
              <w:numPr>
                <w:ilvl w:val="0"/>
                <w:numId w:val="10"/>
              </w:numPr>
              <w:rPr>
                <w:rFonts w:ascii="標楷體" w:eastAsia="標楷體" w:hAnsi="標楷體"/>
                <w:snapToGrid w:val="0"/>
                <w:kern w:val="0"/>
              </w:rPr>
            </w:pPr>
            <w:r w:rsidRPr="004E1B7B">
              <w:rPr>
                <w:rFonts w:ascii="標楷體" w:eastAsia="標楷體" w:hAnsi="標楷體" w:hint="eastAsia"/>
              </w:rPr>
              <w:t>參考全國性內政財團法人會計處理及財務報告編製準則第十五條規定</w:t>
            </w:r>
            <w:r w:rsidRPr="004E1B7B">
              <w:rPr>
                <w:rFonts w:ascii="標楷體" w:eastAsia="標楷體" w:hAnsi="標楷體" w:hint="eastAsia"/>
                <w:snapToGrid w:val="0"/>
                <w:kern w:val="0"/>
              </w:rPr>
              <w:t>。</w:t>
            </w:r>
          </w:p>
        </w:tc>
      </w:tr>
      <w:tr w:rsidR="004E1B7B" w:rsidRPr="004E1B7B" w:rsidTr="00EC671F">
        <w:trPr>
          <w:trHeight w:val="1974"/>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第十九條　會計帳簿在同一會計年度應連續記載，除已用盡外不得更換新帳簿。更換新帳簿時，應於舊帳簿空白頁上，逐頁註明空白作廢字樣。</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rPr>
                <w:rFonts w:ascii="標楷體" w:eastAsia="標楷體" w:hAnsi="標楷體"/>
                <w:snapToGrid w:val="0"/>
                <w:kern w:val="0"/>
              </w:rPr>
            </w:pPr>
            <w:r w:rsidRPr="004E1B7B">
              <w:rPr>
                <w:rFonts w:ascii="標楷體" w:eastAsia="標楷體" w:hAnsi="標楷體" w:hint="eastAsia"/>
                <w:snapToGrid w:val="0"/>
                <w:kern w:val="0"/>
              </w:rPr>
              <w:t>一、訂定會計帳簿更換之限制。</w:t>
            </w:r>
          </w:p>
          <w:p w:rsidR="004E1B7B" w:rsidRPr="004E1B7B" w:rsidRDefault="004E1B7B" w:rsidP="00EC671F">
            <w:pPr>
              <w:ind w:left="480" w:hangingChars="200" w:hanging="480"/>
              <w:rPr>
                <w:rFonts w:ascii="標楷體" w:eastAsia="標楷體" w:hAnsi="標楷體"/>
                <w:snapToGrid w:val="0"/>
                <w:kern w:val="0"/>
              </w:rPr>
            </w:pPr>
            <w:r w:rsidRPr="004E1B7B">
              <w:rPr>
                <w:rFonts w:ascii="標楷體" w:eastAsia="標楷體" w:hAnsi="標楷體" w:hint="eastAsia"/>
                <w:snapToGrid w:val="0"/>
                <w:kern w:val="0"/>
              </w:rPr>
              <w:t>二、因會計年度更替致更換新帳簿時，舊帳簿未用盡之空白頁，應逐頁註明空白作廢字樣。</w:t>
            </w:r>
          </w:p>
          <w:p w:rsidR="004E1B7B" w:rsidRPr="004E1B7B" w:rsidRDefault="004E1B7B" w:rsidP="00EC671F">
            <w:pPr>
              <w:ind w:left="480" w:hangingChars="200" w:hanging="480"/>
              <w:rPr>
                <w:rFonts w:ascii="標楷體" w:eastAsia="標楷體" w:hAnsi="標楷體"/>
                <w:snapToGrid w:val="0"/>
                <w:kern w:val="0"/>
              </w:rPr>
            </w:pPr>
            <w:r w:rsidRPr="004E1B7B">
              <w:rPr>
                <w:rFonts w:ascii="標楷體" w:eastAsia="標楷體" w:hAnsi="標楷體" w:hint="eastAsia"/>
                <w:snapToGrid w:val="0"/>
                <w:kern w:val="0"/>
              </w:rPr>
              <w:t>三、參考商業會計處理準則第九條及第十一條規定。</w:t>
            </w:r>
          </w:p>
        </w:tc>
      </w:tr>
      <w:tr w:rsidR="004E1B7B" w:rsidRPr="004E1B7B" w:rsidTr="00EC671F">
        <w:trPr>
          <w:trHeight w:val="1407"/>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第二十條　會計帳簿應由財團法人董事長、執行長或與執行長職位相當之人及主辦會計人員簽名或蓋章。</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11"/>
              </w:numPr>
              <w:rPr>
                <w:rFonts w:ascii="標楷體" w:eastAsia="標楷體" w:hAnsi="標楷體" w:cs="Arial"/>
              </w:rPr>
            </w:pPr>
            <w:r w:rsidRPr="004E1B7B">
              <w:rPr>
                <w:rFonts w:ascii="標楷體" w:eastAsia="標楷體" w:hAnsi="標楷體" w:cs="Arial" w:hint="eastAsia"/>
              </w:rPr>
              <w:t>訂定會計帳簿應經董事長等相關人員簽名或蓋章。</w:t>
            </w:r>
          </w:p>
          <w:p w:rsidR="004E1B7B" w:rsidRPr="004E1B7B" w:rsidRDefault="004E1B7B" w:rsidP="0062085D">
            <w:pPr>
              <w:numPr>
                <w:ilvl w:val="0"/>
                <w:numId w:val="11"/>
              </w:numPr>
              <w:rPr>
                <w:rFonts w:ascii="標楷體" w:eastAsia="標楷體" w:hAnsi="標楷體" w:cs="Arial"/>
              </w:rPr>
            </w:pPr>
            <w:r w:rsidRPr="004E1B7B">
              <w:rPr>
                <w:rFonts w:ascii="標楷體" w:eastAsia="標楷體" w:hAnsi="標楷體" w:hint="eastAsia"/>
              </w:rPr>
              <w:t>參考全國性內政財團法人會計處理及財務報告編製準則第十七條規定</w:t>
            </w:r>
            <w:r w:rsidRPr="004E1B7B">
              <w:rPr>
                <w:rFonts w:ascii="標楷體" w:eastAsia="標楷體" w:hAnsi="標楷體" w:hint="eastAsia"/>
                <w:snapToGrid w:val="0"/>
                <w:kern w:val="0"/>
              </w:rPr>
              <w:t>。</w:t>
            </w:r>
          </w:p>
        </w:tc>
      </w:tr>
      <w:tr w:rsidR="004E1B7B" w:rsidRPr="004E1B7B" w:rsidTr="00EC671F">
        <w:trPr>
          <w:trHeight w:val="1124"/>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第二十一條　記帳錯誤不影響總數者，應由更正人劃線註銷更正，並於更正處簽名或蓋章證明；記帳錯誤影響總數者，應另開傳票更正。</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12"/>
              </w:numPr>
              <w:rPr>
                <w:rFonts w:ascii="標楷體" w:eastAsia="標楷體" w:hAnsi="標楷體"/>
              </w:rPr>
            </w:pPr>
            <w:r w:rsidRPr="004E1B7B">
              <w:rPr>
                <w:rFonts w:ascii="標楷體" w:eastAsia="標楷體" w:hAnsi="標楷體" w:hint="eastAsia"/>
              </w:rPr>
              <w:t>訂定記帳錯誤之更正程序。</w:t>
            </w:r>
          </w:p>
          <w:p w:rsidR="004E1B7B" w:rsidRPr="004E1B7B" w:rsidRDefault="004E1B7B" w:rsidP="0062085D">
            <w:pPr>
              <w:numPr>
                <w:ilvl w:val="0"/>
                <w:numId w:val="12"/>
              </w:numPr>
              <w:rPr>
                <w:rFonts w:ascii="標楷體" w:eastAsia="標楷體" w:hAnsi="標楷體"/>
              </w:rPr>
            </w:pPr>
            <w:r w:rsidRPr="004E1B7B">
              <w:rPr>
                <w:rFonts w:ascii="標楷體" w:eastAsia="標楷體" w:hAnsi="標楷體" w:hint="eastAsia"/>
              </w:rPr>
              <w:t>參考全國性內政財團法人會計處理及財務報告編製準則第十八條規定</w:t>
            </w:r>
            <w:r w:rsidRPr="004E1B7B">
              <w:rPr>
                <w:rFonts w:ascii="標楷體" w:eastAsia="標楷體" w:hAnsi="標楷體" w:hint="eastAsia"/>
                <w:snapToGrid w:val="0"/>
                <w:kern w:val="0"/>
              </w:rPr>
              <w:t>。</w:t>
            </w:r>
          </w:p>
        </w:tc>
      </w:tr>
      <w:tr w:rsidR="004E1B7B" w:rsidRPr="004E1B7B" w:rsidTr="00EC671F">
        <w:trPr>
          <w:trHeight w:val="1124"/>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bookmarkStart w:id="4" w:name="_Hlk17903030"/>
            <w:r w:rsidRPr="004E1B7B">
              <w:rPr>
                <w:rFonts w:ascii="標楷體" w:eastAsia="標楷體" w:hAnsi="標楷體" w:hint="eastAsia"/>
              </w:rPr>
              <w:t>第二十二條　各種記帳憑證，除應永久保存或有關未結會計事項者外，應於年度決算程序辦理終了後，至少保存五年。</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各種會計帳簿及會計報告，除有關未結會計事項者外，應於年度決算程序辦理終了後，至少保存十年。</w:t>
            </w:r>
            <w:bookmarkEnd w:id="4"/>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29"/>
              </w:numPr>
              <w:spacing w:line="240" w:lineRule="atLeast"/>
              <w:rPr>
                <w:rFonts w:ascii="標楷體" w:eastAsia="標楷體" w:hAnsi="標楷體" w:cs="標楷體"/>
              </w:rPr>
            </w:pPr>
            <w:r w:rsidRPr="004E1B7B">
              <w:rPr>
                <w:rFonts w:ascii="標楷體" w:eastAsia="標楷體" w:hAnsi="標楷體" w:cs="標楷體" w:hint="eastAsia"/>
              </w:rPr>
              <w:t>訂定</w:t>
            </w:r>
            <w:r w:rsidRPr="004E1B7B">
              <w:rPr>
                <w:rFonts w:ascii="標楷體" w:eastAsia="標楷體" w:hAnsi="標楷體" w:hint="eastAsia"/>
                <w:snapToGrid w:val="0"/>
                <w:kern w:val="0"/>
              </w:rPr>
              <w:t>記帳</w:t>
            </w:r>
            <w:r w:rsidRPr="004E1B7B">
              <w:rPr>
                <w:rFonts w:ascii="標楷體" w:eastAsia="標楷體" w:hAnsi="標楷體" w:cs="標楷體" w:hint="eastAsia"/>
              </w:rPr>
              <w:t>憑證、帳簿及報告之保存年限。</w:t>
            </w:r>
          </w:p>
          <w:p w:rsidR="004E1B7B" w:rsidRPr="004E1B7B" w:rsidRDefault="004E1B7B" w:rsidP="0062085D">
            <w:pPr>
              <w:pStyle w:val="Standard"/>
              <w:numPr>
                <w:ilvl w:val="0"/>
                <w:numId w:val="29"/>
              </w:numPr>
              <w:spacing w:line="240" w:lineRule="atLeast"/>
              <w:rPr>
                <w:rFonts w:ascii="標楷體" w:eastAsia="標楷體" w:hAnsi="標楷體" w:cs="標楷體"/>
              </w:rPr>
            </w:pPr>
            <w:r w:rsidRPr="004E1B7B">
              <w:rPr>
                <w:rFonts w:ascii="標楷體" w:eastAsia="標楷體" w:hAnsi="標楷體" w:cs="標楷體" w:hint="eastAsia"/>
              </w:rPr>
              <w:t>為適應債權債務關係、因案未結或其他法律另有規定等情由，致須延長保存期限或永久保存，爰分別於第一項及第二項作除外之規定。</w:t>
            </w:r>
          </w:p>
          <w:p w:rsidR="004E1B7B" w:rsidRPr="004E1B7B" w:rsidRDefault="004E1B7B" w:rsidP="0062085D">
            <w:pPr>
              <w:pStyle w:val="Standard"/>
              <w:numPr>
                <w:ilvl w:val="0"/>
                <w:numId w:val="29"/>
              </w:numPr>
              <w:spacing w:line="240" w:lineRule="atLeast"/>
              <w:rPr>
                <w:rFonts w:ascii="標楷體" w:eastAsia="標楷體" w:hAnsi="標楷體" w:cs="標楷體"/>
              </w:rPr>
            </w:pPr>
            <w:r w:rsidRPr="004E1B7B">
              <w:rPr>
                <w:rFonts w:ascii="標楷體" w:eastAsia="標楷體" w:hAnsi="標楷體" w:cs="標楷體" w:hint="eastAsia"/>
              </w:rPr>
              <w:t>參考商業會計法第三十八條規定。</w:t>
            </w:r>
          </w:p>
        </w:tc>
      </w:tr>
      <w:tr w:rsidR="004E1B7B" w:rsidRPr="004E1B7B" w:rsidTr="00EC671F">
        <w:trPr>
          <w:trHeight w:val="410"/>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第三章　財務報告編制</w:t>
            </w:r>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pStyle w:val="Standard"/>
              <w:spacing w:line="240" w:lineRule="atLeast"/>
              <w:rPr>
                <w:rFonts w:ascii="標楷體" w:eastAsia="標楷體" w:hAnsi="標楷體" w:cs="標楷體"/>
              </w:rPr>
            </w:pPr>
            <w:r w:rsidRPr="004E1B7B">
              <w:rPr>
                <w:rFonts w:ascii="標楷體" w:eastAsia="標楷體" w:hAnsi="標楷體" w:cs="標楷體" w:hint="eastAsia"/>
              </w:rPr>
              <w:t>明定章名。</w:t>
            </w:r>
          </w:p>
        </w:tc>
      </w:tr>
      <w:tr w:rsidR="004E1B7B" w:rsidRPr="004E1B7B" w:rsidTr="00EC671F">
        <w:trPr>
          <w:trHeight w:val="410"/>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第二十三條　</w:t>
            </w:r>
            <w:bookmarkStart w:id="5" w:name="_Hlk17903118"/>
            <w:r w:rsidRPr="004E1B7B">
              <w:rPr>
                <w:rFonts w:ascii="標楷體" w:eastAsia="標楷體" w:hAnsi="標楷體" w:hint="eastAsia"/>
              </w:rPr>
              <w:t>財團法人於年度決算應檢附之內容為：</w:t>
            </w:r>
          </w:p>
          <w:p w:rsidR="004E1B7B" w:rsidRPr="004E1B7B" w:rsidRDefault="004E1B7B" w:rsidP="00EC671F">
            <w:pPr>
              <w:snapToGrid w:val="0"/>
              <w:rPr>
                <w:rFonts w:ascii="標楷體" w:eastAsia="標楷體" w:hAnsi="標楷體"/>
              </w:rPr>
            </w:pPr>
            <w:r w:rsidRPr="004E1B7B">
              <w:rPr>
                <w:rFonts w:ascii="標楷體" w:eastAsia="標楷體" w:hAnsi="標楷體" w:hint="eastAsia"/>
              </w:rPr>
              <w:t xml:space="preserve">  一、資產負債表。</w:t>
            </w:r>
          </w:p>
          <w:p w:rsidR="004E1B7B" w:rsidRPr="004E1B7B" w:rsidRDefault="004E1B7B" w:rsidP="00EC671F">
            <w:pPr>
              <w:snapToGrid w:val="0"/>
              <w:rPr>
                <w:rFonts w:ascii="標楷體" w:eastAsia="標楷體" w:hAnsi="標楷體"/>
              </w:rPr>
            </w:pPr>
            <w:r w:rsidRPr="004E1B7B">
              <w:rPr>
                <w:rFonts w:ascii="標楷體" w:eastAsia="標楷體" w:hAnsi="標楷體" w:hint="eastAsia"/>
              </w:rPr>
              <w:t xml:space="preserve">  二、決算書。</w:t>
            </w:r>
          </w:p>
          <w:p w:rsidR="004E1B7B" w:rsidRPr="004E1B7B" w:rsidRDefault="004E1B7B" w:rsidP="00EC671F">
            <w:pPr>
              <w:snapToGrid w:val="0"/>
              <w:ind w:leftChars="100" w:left="240" w:firstLineChars="200" w:firstLine="480"/>
              <w:rPr>
                <w:rFonts w:ascii="標楷體" w:eastAsia="標楷體" w:hAnsi="標楷體"/>
              </w:rPr>
            </w:pPr>
            <w:bookmarkStart w:id="6" w:name="_Hlk17987387"/>
            <w:r w:rsidRPr="004E1B7B">
              <w:rPr>
                <w:rFonts w:ascii="標楷體" w:eastAsia="標楷體" w:hAnsi="標楷體" w:hint="eastAsia"/>
              </w:rPr>
              <w:lastRenderedPageBreak/>
              <w:t>法院登記之財產總額達三千萬元或年度收入達一千萬元以上之財團法人，</w:t>
            </w:r>
            <w:bookmarkStart w:id="7" w:name="_Hlk17988073"/>
            <w:r w:rsidRPr="004E1B7B">
              <w:rPr>
                <w:rFonts w:ascii="標楷體" w:eastAsia="標楷體" w:hAnsi="標楷體" w:hint="eastAsia"/>
              </w:rPr>
              <w:t>應另檢附</w:t>
            </w:r>
            <w:bookmarkEnd w:id="5"/>
            <w:r w:rsidRPr="004E1B7B">
              <w:rPr>
                <w:rFonts w:ascii="標楷體" w:eastAsia="標楷體" w:hAnsi="標楷體" w:hint="eastAsia"/>
              </w:rPr>
              <w:t>經有執照之會計師出具之查核或財務報告</w:t>
            </w:r>
            <w:bookmarkEnd w:id="7"/>
            <w:r w:rsidRPr="004E1B7B">
              <w:rPr>
                <w:rFonts w:ascii="標楷體" w:eastAsia="標楷體" w:hAnsi="標楷體" w:hint="eastAsia"/>
              </w:rPr>
              <w:t>，其內容如下</w:t>
            </w:r>
            <w:bookmarkEnd w:id="6"/>
            <w:r w:rsidRPr="004E1B7B">
              <w:rPr>
                <w:rFonts w:ascii="標楷體" w:eastAsia="標楷體" w:hAnsi="標楷體" w:hint="eastAsia"/>
              </w:rPr>
              <w:t>：</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一、財務報表。</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二、其他有助於使用人決策之揭露事項</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 xml:space="preserve">    及說明。</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前項第一款財務報表</w:t>
            </w:r>
            <w:bookmarkStart w:id="8" w:name="_Hlk22560325"/>
            <w:r w:rsidRPr="004E1B7B">
              <w:rPr>
                <w:rFonts w:ascii="標楷體" w:eastAsia="標楷體" w:hAnsi="標楷體" w:hint="eastAsia"/>
              </w:rPr>
              <w:t>內容如下，其報表內容應包含附屬作業組織</w:t>
            </w:r>
            <w:bookmarkEnd w:id="8"/>
            <w:r w:rsidRPr="004E1B7B">
              <w:rPr>
                <w:rFonts w:ascii="標楷體" w:eastAsia="標楷體" w:hAnsi="標楷體" w:hint="eastAsia"/>
              </w:rPr>
              <w:t>：</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一、資產負債表。</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二、收支餘絀表。</w:t>
            </w:r>
          </w:p>
          <w:p w:rsidR="004E1B7B" w:rsidRPr="004E1B7B" w:rsidRDefault="004E1B7B" w:rsidP="00EC671F">
            <w:pPr>
              <w:snapToGrid w:val="0"/>
              <w:ind w:leftChars="100" w:left="240"/>
              <w:rPr>
                <w:rFonts w:ascii="標楷體" w:eastAsia="標楷體" w:hAnsi="標楷體"/>
                <w:snapToGrid w:val="0"/>
                <w:kern w:val="0"/>
              </w:rPr>
            </w:pPr>
            <w:bookmarkStart w:id="9" w:name="_Hlk17903162"/>
            <w:r w:rsidRPr="004E1B7B">
              <w:rPr>
                <w:rFonts w:ascii="標楷體" w:eastAsia="標楷體" w:hAnsi="標楷體" w:hint="eastAsia"/>
              </w:rPr>
              <w:t>三、</w:t>
            </w:r>
            <w:r w:rsidRPr="004E1B7B">
              <w:rPr>
                <w:rFonts w:ascii="標楷體" w:eastAsia="標楷體" w:hAnsi="標楷體"/>
                <w:snapToGrid w:val="0"/>
                <w:kern w:val="0"/>
              </w:rPr>
              <w:t>淨值變動表</w:t>
            </w:r>
            <w:r w:rsidRPr="004E1B7B">
              <w:rPr>
                <w:rFonts w:ascii="標楷體" w:eastAsia="標楷體" w:hAnsi="標楷體" w:hint="eastAsia"/>
                <w:snapToGrid w:val="0"/>
                <w:kern w:val="0"/>
              </w:rPr>
              <w:t>。</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四、</w:t>
            </w:r>
            <w:r w:rsidRPr="004E1B7B">
              <w:rPr>
                <w:rFonts w:ascii="標楷體" w:eastAsia="標楷體" w:hAnsi="標楷體"/>
                <w:snapToGrid w:val="0"/>
                <w:kern w:val="0"/>
              </w:rPr>
              <w:t>現金流量表</w:t>
            </w:r>
            <w:r w:rsidRPr="004E1B7B">
              <w:rPr>
                <w:rFonts w:ascii="標楷體" w:eastAsia="標楷體" w:hAnsi="標楷體" w:hint="eastAsia"/>
                <w:snapToGrid w:val="0"/>
                <w:kern w:val="0"/>
              </w:rPr>
              <w:t>。</w:t>
            </w:r>
          </w:p>
          <w:bookmarkEnd w:id="9"/>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五、附註或附表。</w:t>
            </w:r>
          </w:p>
          <w:p w:rsidR="004E1B7B" w:rsidRPr="004E1B7B" w:rsidRDefault="004E1B7B" w:rsidP="00EC671F">
            <w:pPr>
              <w:snapToGrid w:val="0"/>
              <w:ind w:leftChars="100" w:left="240" w:firstLineChars="200" w:firstLine="480"/>
              <w:rPr>
                <w:rFonts w:ascii="標楷體" w:eastAsia="標楷體" w:hAnsi="標楷體"/>
              </w:rPr>
            </w:pPr>
            <w:bookmarkStart w:id="10" w:name="_Hlk17903152"/>
            <w:r w:rsidRPr="004E1B7B">
              <w:rPr>
                <w:rFonts w:ascii="標楷體" w:eastAsia="標楷體" w:hAnsi="標楷體" w:hint="eastAsia"/>
              </w:rPr>
              <w:t>第一項第一款及第二款之格式由主管機關另定之。</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政府捐助之財團法人，其設置如符合預算法第九十六條準用第四十一條</w:t>
            </w:r>
            <w:bookmarkStart w:id="11" w:name="_Hlk22560353"/>
            <w:r w:rsidRPr="004E1B7B">
              <w:rPr>
                <w:rFonts w:ascii="標楷體" w:eastAsia="標楷體" w:hAnsi="標楷體" w:hint="eastAsia"/>
              </w:rPr>
              <w:t>第三項、</w:t>
            </w:r>
            <w:bookmarkEnd w:id="11"/>
            <w:r w:rsidRPr="004E1B7B">
              <w:rPr>
                <w:rFonts w:ascii="標楷體" w:eastAsia="標楷體" w:hAnsi="標楷體" w:hint="eastAsia"/>
              </w:rPr>
              <w:t>第四項或決算法第三十一條準用第二十二條第二項規定者，其預（決）算之編送應依本府相關規定辦理。</w:t>
            </w:r>
            <w:r w:rsidRPr="004E1B7B">
              <w:rPr>
                <w:rFonts w:ascii="標楷體" w:eastAsia="標楷體" w:hAnsi="標楷體"/>
              </w:rPr>
              <w:t xml:space="preserve"> </w:t>
            </w:r>
          </w:p>
          <w:bookmarkEnd w:id="10"/>
          <w:p w:rsidR="004E1B7B" w:rsidRPr="004E1B7B" w:rsidRDefault="004E1B7B" w:rsidP="00EC671F">
            <w:pPr>
              <w:snapToGrid w:val="0"/>
              <w:ind w:leftChars="100" w:left="240" w:firstLineChars="200" w:firstLine="480"/>
              <w:rPr>
                <w:rFonts w:ascii="標楷體" w:eastAsia="標楷體" w:hAnsi="標楷體"/>
              </w:rPr>
            </w:pP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17"/>
              </w:numPr>
              <w:spacing w:line="240" w:lineRule="atLeast"/>
              <w:rPr>
                <w:rFonts w:ascii="標楷體" w:eastAsia="標楷體" w:hAnsi="標楷體" w:cs="標楷體"/>
              </w:rPr>
            </w:pPr>
            <w:r w:rsidRPr="004E1B7B">
              <w:rPr>
                <w:rFonts w:ascii="標楷體" w:eastAsia="標楷體" w:hAnsi="標楷體" w:cs="標楷體" w:hint="eastAsia"/>
              </w:rPr>
              <w:lastRenderedPageBreak/>
              <w:t>訂定財團法人年度決算報送之內容。</w:t>
            </w:r>
          </w:p>
          <w:p w:rsidR="004E1B7B" w:rsidRPr="004E1B7B" w:rsidRDefault="004E1B7B" w:rsidP="0062085D">
            <w:pPr>
              <w:pStyle w:val="Standard"/>
              <w:numPr>
                <w:ilvl w:val="0"/>
                <w:numId w:val="17"/>
              </w:numPr>
              <w:spacing w:line="240" w:lineRule="atLeast"/>
              <w:rPr>
                <w:rFonts w:ascii="標楷體" w:eastAsia="標楷體" w:hAnsi="標楷體" w:cs="標楷體"/>
              </w:rPr>
            </w:pPr>
            <w:r w:rsidRPr="004E1B7B">
              <w:rPr>
                <w:rFonts w:ascii="標楷體" w:eastAsia="標楷體" w:hAnsi="標楷體" w:hint="eastAsia"/>
                <w:snapToGrid w:val="0"/>
                <w:kern w:val="0"/>
              </w:rPr>
              <w:t>因地方性財團法人規模不似全國性財團法人，要求規模不大之財團法人比</w:t>
            </w:r>
            <w:r w:rsidRPr="004E1B7B">
              <w:rPr>
                <w:rFonts w:ascii="標楷體" w:eastAsia="標楷體" w:hAnsi="標楷體" w:hint="eastAsia"/>
                <w:snapToGrid w:val="0"/>
                <w:kern w:val="0"/>
              </w:rPr>
              <w:lastRenderedPageBreak/>
              <w:t>照中央規定辦理，恐會造成多數小型財團法人之負擔，故針對本市之財團法人於本條第一項年度決算應檢附文件中未納入淨值變動表及現金流量表。</w:t>
            </w:r>
          </w:p>
          <w:p w:rsidR="004E1B7B" w:rsidRPr="004E1B7B" w:rsidRDefault="004E1B7B" w:rsidP="0062085D">
            <w:pPr>
              <w:pStyle w:val="Standard"/>
              <w:numPr>
                <w:ilvl w:val="0"/>
                <w:numId w:val="17"/>
              </w:numPr>
              <w:spacing w:line="240" w:lineRule="atLeast"/>
              <w:rPr>
                <w:rFonts w:ascii="標楷體" w:eastAsia="標楷體" w:hAnsi="標楷體" w:cs="標楷體"/>
              </w:rPr>
            </w:pPr>
            <w:r w:rsidRPr="004E1B7B">
              <w:rPr>
                <w:rFonts w:ascii="標楷體" w:eastAsia="標楷體" w:hAnsi="標楷體" w:hint="eastAsia"/>
                <w:snapToGrid w:val="0"/>
                <w:kern w:val="0"/>
              </w:rPr>
              <w:t>針對財產總額或年收入達一定金額以上之財團法人，另應檢附</w:t>
            </w:r>
            <w:r w:rsidRPr="004E1B7B">
              <w:rPr>
                <w:rFonts w:ascii="標楷體" w:eastAsia="標楷體" w:hAnsi="標楷體" w:hint="eastAsia"/>
              </w:rPr>
              <w:t>有執照之會計師出具之查核或財務報告。</w:t>
            </w:r>
          </w:p>
          <w:p w:rsidR="004E1B7B" w:rsidRPr="004E1B7B" w:rsidRDefault="004E1B7B" w:rsidP="0062085D">
            <w:pPr>
              <w:pStyle w:val="Standard"/>
              <w:numPr>
                <w:ilvl w:val="0"/>
                <w:numId w:val="17"/>
              </w:numPr>
              <w:spacing w:line="240" w:lineRule="atLeast"/>
              <w:rPr>
                <w:rFonts w:ascii="標楷體" w:eastAsia="標楷體" w:hAnsi="標楷體" w:cs="標楷體"/>
              </w:rPr>
            </w:pPr>
            <w:r w:rsidRPr="004E1B7B">
              <w:rPr>
                <w:rFonts w:ascii="標楷體" w:eastAsia="標楷體" w:hAnsi="標楷體" w:hint="eastAsia"/>
                <w:snapToGrid w:val="0"/>
                <w:kern w:val="0"/>
              </w:rPr>
              <w:t>前述</w:t>
            </w:r>
            <w:r w:rsidRPr="004E1B7B">
              <w:rPr>
                <w:rFonts w:ascii="標楷體" w:eastAsia="標楷體" w:hAnsi="標楷體" w:hint="eastAsia"/>
              </w:rPr>
              <w:t>法院登記之</w:t>
            </w:r>
            <w:r w:rsidRPr="004E1B7B">
              <w:rPr>
                <w:rFonts w:ascii="標楷體" w:eastAsia="標楷體" w:hAnsi="標楷體" w:hint="eastAsia"/>
                <w:snapToGrid w:val="0"/>
                <w:kern w:val="0"/>
              </w:rPr>
              <w:t>財產總額或年收入達一定金額為本市社會福利財團法人設立許可及監督辦法第13條所訂財產總額三千萬元及年度收入一千萬元。</w:t>
            </w:r>
          </w:p>
          <w:p w:rsidR="004E1B7B" w:rsidRPr="004E1B7B" w:rsidRDefault="004E1B7B" w:rsidP="0062085D">
            <w:pPr>
              <w:pStyle w:val="Standard"/>
              <w:numPr>
                <w:ilvl w:val="0"/>
                <w:numId w:val="17"/>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參考全國性內政財團法人會計處理及財務報告編製準則第十九條及臺北市財團法人會計處理及財務報告編製準則第十七條規定，另依本市社會福利財團法人性質調整財務報告內容。</w:t>
            </w:r>
          </w:p>
        </w:tc>
      </w:tr>
      <w:tr w:rsidR="004E1B7B" w:rsidRPr="004E1B7B" w:rsidTr="00EC671F">
        <w:trPr>
          <w:trHeight w:val="3960"/>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第二十四條　前條第一項第一款</w:t>
            </w:r>
            <w:bookmarkStart w:id="12" w:name="_Hlk17990480"/>
            <w:r w:rsidRPr="004E1B7B">
              <w:rPr>
                <w:rFonts w:ascii="標楷體" w:eastAsia="標楷體" w:hAnsi="標楷體" w:hint="eastAsia"/>
              </w:rPr>
              <w:t>及第三項第一款</w:t>
            </w:r>
            <w:bookmarkEnd w:id="12"/>
            <w:r w:rsidRPr="004E1B7B">
              <w:rPr>
                <w:rFonts w:ascii="標楷體" w:eastAsia="標楷體" w:hAnsi="標楷體" w:hint="eastAsia"/>
              </w:rPr>
              <w:t>資產負債表，其內容如下：</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一、資產：</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 xml:space="preserve">　 （一）流動資產。</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 xml:space="preserve">　 （二）非流動資產。</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二、負債：</w:t>
            </w:r>
          </w:p>
          <w:p w:rsidR="004E1B7B" w:rsidRPr="004E1B7B" w:rsidRDefault="004E1B7B" w:rsidP="00EC671F">
            <w:pPr>
              <w:snapToGri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（一）流動負債。</w:t>
            </w:r>
          </w:p>
          <w:p w:rsidR="004E1B7B" w:rsidRPr="004E1B7B" w:rsidRDefault="004E1B7B" w:rsidP="00EC671F">
            <w:pPr>
              <w:snapToGri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（二）非流動負債。</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三、淨值：</w:t>
            </w:r>
          </w:p>
          <w:p w:rsidR="004E1B7B" w:rsidRPr="004E1B7B" w:rsidRDefault="004E1B7B" w:rsidP="00EC671F">
            <w:pPr>
              <w:snapToGri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(一)基金。</w:t>
            </w:r>
          </w:p>
          <w:p w:rsidR="004E1B7B" w:rsidRPr="004E1B7B" w:rsidRDefault="004E1B7B" w:rsidP="00EC671F">
            <w:pPr>
              <w:snapToGrid w:val="0"/>
              <w:ind w:leftChars="150" w:left="840" w:hangingChars="200" w:hanging="480"/>
              <w:rPr>
                <w:rFonts w:ascii="標楷體" w:eastAsia="標楷體" w:hAnsi="標楷體"/>
              </w:rPr>
            </w:pPr>
            <w:r w:rsidRPr="004E1B7B">
              <w:rPr>
                <w:rFonts w:ascii="標楷體" w:eastAsia="標楷體" w:hAnsi="標楷體" w:hint="eastAsia"/>
              </w:rPr>
              <w:t xml:space="preserve">　 (二)公積。</w:t>
            </w:r>
          </w:p>
          <w:p w:rsidR="004E1B7B" w:rsidRPr="004E1B7B" w:rsidRDefault="004E1B7B" w:rsidP="00EC671F">
            <w:pPr>
              <w:snapToGrid w:val="0"/>
              <w:ind w:firstLineChars="150" w:firstLine="360"/>
              <w:rPr>
                <w:rFonts w:ascii="標楷體" w:eastAsia="標楷體" w:hAnsi="標楷體"/>
              </w:rPr>
            </w:pPr>
            <w:r w:rsidRPr="004E1B7B">
              <w:rPr>
                <w:rFonts w:ascii="標楷體" w:eastAsia="標楷體" w:hAnsi="標楷體" w:hint="eastAsia"/>
              </w:rPr>
              <w:t xml:space="preserve">　 (三)累積餘絀。</w:t>
            </w:r>
          </w:p>
          <w:p w:rsidR="004E1B7B" w:rsidRPr="004E1B7B" w:rsidRDefault="004E1B7B" w:rsidP="00EC671F">
            <w:pPr>
              <w:snapToGrid w:val="0"/>
              <w:ind w:leftChars="150" w:left="840" w:hangingChars="200" w:hanging="480"/>
              <w:rPr>
                <w:rFonts w:ascii="標楷體" w:eastAsia="標楷體" w:hAnsi="標楷體"/>
              </w:rPr>
            </w:pPr>
            <w:r w:rsidRPr="004E1B7B">
              <w:rPr>
                <w:rFonts w:ascii="標楷體" w:eastAsia="標楷體" w:hAnsi="標楷體" w:hint="eastAsia"/>
              </w:rPr>
              <w:t xml:space="preserve">　 (四)淨值其他項目。</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6"/>
              </w:numPr>
              <w:rPr>
                <w:rFonts w:ascii="標楷體" w:eastAsia="標楷體" w:hAnsi="標楷體" w:cs="細明體"/>
                <w:sz w:val="23"/>
                <w:szCs w:val="23"/>
              </w:rPr>
            </w:pPr>
            <w:r w:rsidRPr="004E1B7B">
              <w:rPr>
                <w:rFonts w:ascii="標楷體" w:eastAsia="標楷體" w:hAnsi="標楷體" w:hint="eastAsia"/>
              </w:rPr>
              <w:t>明定資產負債表之內容。</w:t>
            </w:r>
          </w:p>
          <w:p w:rsidR="004E1B7B" w:rsidRPr="004E1B7B" w:rsidRDefault="004E1B7B" w:rsidP="0062085D">
            <w:pPr>
              <w:numPr>
                <w:ilvl w:val="0"/>
                <w:numId w:val="6"/>
              </w:numPr>
              <w:rPr>
                <w:rFonts w:ascii="標楷體" w:eastAsia="標楷體" w:hAnsi="標楷體" w:cs="細明體"/>
                <w:sz w:val="23"/>
                <w:szCs w:val="23"/>
              </w:rPr>
            </w:pPr>
            <w:r w:rsidRPr="004E1B7B">
              <w:rPr>
                <w:rFonts w:ascii="標楷體" w:eastAsia="標楷體" w:hAnsi="標楷體" w:hint="eastAsia"/>
              </w:rPr>
              <w:t>參考全國性社會福利財團法人會計處理及財務報告編製準則第二十二條規定。</w:t>
            </w:r>
          </w:p>
        </w:tc>
      </w:tr>
      <w:tr w:rsidR="004E1B7B" w:rsidRPr="004E1B7B" w:rsidTr="00EC671F">
        <w:trPr>
          <w:trHeight w:val="3531"/>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第二十五條　前條第一款第一目流動資產，指符合下列各款之一之資產：</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一、因業務所生之資產，預期於其正常營運週期中實現、意圖出售或消耗者。</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二、主要為交易目的而持有者。</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三、預期於資產負債表日後十二個月內實現者。</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四、現金或約當現金。但資產負債表日後逾十二個月用以交換、清償負債或受有其他限制者，不包括在內。</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18"/>
              </w:numPr>
              <w:spacing w:line="240" w:lineRule="atLeast"/>
              <w:rPr>
                <w:rFonts w:ascii="標楷體" w:eastAsia="標楷體" w:hAnsi="標楷體" w:cs="標楷體"/>
              </w:rPr>
            </w:pPr>
            <w:r w:rsidRPr="004E1B7B">
              <w:rPr>
                <w:rFonts w:ascii="標楷體" w:eastAsia="標楷體" w:hAnsi="標楷體" w:cs="標楷體" w:hint="eastAsia"/>
              </w:rPr>
              <w:t>明定流動資產之定義。</w:t>
            </w:r>
          </w:p>
          <w:p w:rsidR="004E1B7B" w:rsidRPr="004E1B7B" w:rsidRDefault="004E1B7B" w:rsidP="0062085D">
            <w:pPr>
              <w:pStyle w:val="Standard"/>
              <w:numPr>
                <w:ilvl w:val="0"/>
                <w:numId w:val="18"/>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參考全國性社會福利財團法人會計處理及財務報告編製準則第二十三條規定。</w:t>
            </w:r>
          </w:p>
        </w:tc>
      </w:tr>
      <w:tr w:rsidR="004E1B7B" w:rsidRPr="004E1B7B" w:rsidTr="00EC671F">
        <w:trPr>
          <w:trHeight w:val="977"/>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第二十六條　前條流動資產之內容，包括下列會計項目：</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一、現金及約當現金：指庫存現金、活期存款及可隨時轉換成定額現金，且價值變動風險甚小之短期，並具高度流動性之定期存款或投資。</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二、短期性投資：包括下列會計項目，其有提供債務作質、質押或存出保證金等情事者，應予揭露；其項目性質及應註明事項如下：</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（一）透過損益按公允價值衡量之金融資產－流動：指持有供交易或原始認列時，被指定為透過益按公允價值衡量之金融資產。</w:t>
            </w:r>
          </w:p>
          <w:p w:rsidR="004E1B7B" w:rsidRPr="004E1B7B" w:rsidRDefault="004E1B7B" w:rsidP="00EC671F">
            <w:pPr>
              <w:snapToGrid w:val="0"/>
              <w:ind w:leftChars="263" w:left="1351" w:hangingChars="300" w:hanging="720"/>
              <w:rPr>
                <w:rFonts w:ascii="標楷體" w:eastAsia="標楷體" w:hAnsi="標楷體"/>
              </w:rPr>
            </w:pPr>
            <w:r w:rsidRPr="004E1B7B">
              <w:rPr>
                <w:rFonts w:ascii="標楷體" w:eastAsia="標楷體" w:hAnsi="標楷體" w:hint="eastAsia"/>
              </w:rPr>
              <w:t>（二）備供出售金融資產－流動：被指定為備供出售之非衍生金融資產，應以公允價值衡量。</w:t>
            </w:r>
          </w:p>
          <w:p w:rsidR="004E1B7B" w:rsidRPr="004E1B7B" w:rsidRDefault="004E1B7B" w:rsidP="00EC671F">
            <w:pPr>
              <w:snapToGrid w:val="0"/>
              <w:ind w:leftChars="263" w:left="1351" w:hangingChars="300" w:hanging="720"/>
              <w:rPr>
                <w:rFonts w:ascii="標楷體" w:eastAsia="標楷體" w:hAnsi="標楷體"/>
              </w:rPr>
            </w:pPr>
            <w:r w:rsidRPr="004E1B7B">
              <w:rPr>
                <w:rFonts w:ascii="標楷體" w:eastAsia="標楷體" w:hAnsi="標楷體" w:hint="eastAsia"/>
              </w:rPr>
              <w:t>（三）以成本衡量之金融資產－流公開報價之權益工具，其公允價值無法可靠衡量之金融資產。</w:t>
            </w:r>
          </w:p>
          <w:p w:rsidR="004E1B7B" w:rsidRPr="004E1B7B" w:rsidRDefault="004E1B7B" w:rsidP="00EC671F">
            <w:pPr>
              <w:snapToGrid w:val="0"/>
              <w:ind w:leftChars="263" w:left="1351" w:hangingChars="300" w:hanging="720"/>
              <w:rPr>
                <w:rFonts w:ascii="標楷體" w:eastAsia="標楷體" w:hAnsi="標楷體"/>
              </w:rPr>
            </w:pPr>
            <w:r w:rsidRPr="004E1B7B">
              <w:rPr>
                <w:rFonts w:ascii="標楷體" w:eastAsia="標楷體" w:hAnsi="標楷體" w:hint="eastAsia"/>
              </w:rPr>
              <w:t>（四）無活絡市場之債務工具投資－流動：指持有無活絡市場公開報價，且具固定或可決定收取金額之債務工具投資，應以攤</w:t>
            </w:r>
          </w:p>
          <w:p w:rsidR="004E1B7B" w:rsidRPr="004E1B7B" w:rsidRDefault="004E1B7B" w:rsidP="00EC671F">
            <w:pPr>
              <w:snapToGrid w:val="0"/>
              <w:ind w:leftChars="263" w:left="1351" w:hangingChars="300" w:hanging="720"/>
              <w:rPr>
                <w:rFonts w:ascii="標楷體" w:eastAsia="標楷體" w:hAnsi="標楷體"/>
              </w:rPr>
            </w:pPr>
            <w:r w:rsidRPr="004E1B7B">
              <w:rPr>
                <w:rFonts w:ascii="標楷體" w:eastAsia="標楷體" w:hAnsi="標楷體" w:hint="eastAsia"/>
              </w:rPr>
              <w:t xml:space="preserve">        銷後成本衡量。</w:t>
            </w:r>
          </w:p>
          <w:p w:rsidR="004E1B7B" w:rsidRPr="004E1B7B" w:rsidRDefault="004E1B7B" w:rsidP="00EC671F">
            <w:pPr>
              <w:snapToGrid w:val="0"/>
              <w:ind w:leftChars="263" w:left="1591" w:hangingChars="400" w:hanging="960"/>
              <w:rPr>
                <w:rFonts w:ascii="標楷體" w:eastAsia="標楷體" w:hAnsi="標楷體"/>
              </w:rPr>
            </w:pPr>
            <w:r w:rsidRPr="004E1B7B">
              <w:rPr>
                <w:rFonts w:ascii="標楷體" w:eastAsia="標楷體" w:hAnsi="標楷體" w:hint="eastAsia"/>
              </w:rPr>
              <w:t>（五）持有至到期日金融資產－流</w:t>
            </w:r>
            <w:r w:rsidRPr="004E1B7B">
              <w:rPr>
                <w:rFonts w:ascii="標楷體" w:eastAsia="標楷體" w:hAnsi="標楷體" w:hint="eastAsia"/>
              </w:rPr>
              <w:lastRenderedPageBreak/>
              <w:t>動：指持有至到期日之金融資產，在一年內到期之部分，應以攤銷後成本衡量。</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三、應收票據：指應收之各種票據；其項目性質及應註明事項如下：</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（一）應收票據應以攤銷後成本衡</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量。但未附息之短期應收票</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據，其折現之影響不大者，得</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以票面金額衡量。</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（二）業經貼現或轉讓者，應予揭</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露。</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（三）營運所生應收票據，應與非營        </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運所生應收票據分別列示。</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（四）金額重大之應收關係人票據，</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應單獨列示。</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（五）已提供擔保者，應予揭露。</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（六）已確定無法收回者，應予轉</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銷。</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（七）資產負債表日應評估應收票據</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無法收回之金額，提列適當之</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備抵呆帳，列為應收票據之減        </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項。</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四、應收帳款：指因提供社會福利服務或相關營運所生債權；其項目性質及應註明事項如下：</w:t>
            </w:r>
          </w:p>
          <w:p w:rsidR="004E1B7B" w:rsidRPr="004E1B7B" w:rsidRDefault="004E1B7B" w:rsidP="00EC671F">
            <w:pPr>
              <w:snapToGrid w:val="0"/>
              <w:ind w:leftChars="100" w:left="1200" w:hangingChars="400" w:hanging="960"/>
              <w:rPr>
                <w:rFonts w:ascii="標楷體" w:eastAsia="標楷體" w:hAnsi="標楷體"/>
              </w:rPr>
            </w:pPr>
            <w:r w:rsidRPr="004E1B7B">
              <w:rPr>
                <w:rFonts w:ascii="標楷體" w:eastAsia="標楷體" w:hAnsi="標楷體" w:hint="eastAsia"/>
              </w:rPr>
              <w:t xml:space="preserve">　（一）應收帳款應以攤銷後成本衡量。但未附息之短期應收帳款，若折現之影響不大者，得以交易金額衡量。</w:t>
            </w:r>
          </w:p>
          <w:p w:rsidR="004E1B7B" w:rsidRPr="004E1B7B" w:rsidRDefault="004E1B7B" w:rsidP="00EC671F">
            <w:pPr>
              <w:snapToGrid w:val="0"/>
              <w:ind w:leftChars="100" w:left="1200" w:hangingChars="400" w:hanging="960"/>
              <w:rPr>
                <w:rFonts w:ascii="標楷體" w:eastAsia="標楷體" w:hAnsi="標楷體"/>
              </w:rPr>
            </w:pPr>
            <w:r w:rsidRPr="004E1B7B">
              <w:rPr>
                <w:rFonts w:ascii="標楷體" w:eastAsia="標楷體" w:hAnsi="標楷體" w:hint="eastAsia"/>
              </w:rPr>
              <w:t xml:space="preserve">　（二）金額重大之應收關係人帳款，應單獨列示。</w:t>
            </w:r>
          </w:p>
          <w:p w:rsidR="004E1B7B" w:rsidRPr="004E1B7B" w:rsidRDefault="004E1B7B" w:rsidP="00EC671F">
            <w:pPr>
              <w:snapToGrid w:val="0"/>
              <w:ind w:leftChars="100" w:left="1200" w:hangingChars="400" w:hanging="960"/>
              <w:rPr>
                <w:rFonts w:ascii="標楷體" w:eastAsia="標楷體" w:hAnsi="標楷體"/>
              </w:rPr>
            </w:pPr>
            <w:r w:rsidRPr="004E1B7B">
              <w:rPr>
                <w:rFonts w:ascii="標楷體" w:eastAsia="標楷體" w:hAnsi="標楷體" w:hint="eastAsia"/>
              </w:rPr>
              <w:t xml:space="preserve">　（三）分期付款銷售之未實現利息收入，應列為應收帳款之減項。</w:t>
            </w:r>
          </w:p>
          <w:p w:rsidR="004E1B7B" w:rsidRPr="004E1B7B" w:rsidRDefault="004E1B7B" w:rsidP="00EC671F">
            <w:pPr>
              <w:snapToGrid w:val="0"/>
              <w:ind w:leftChars="100" w:left="1200" w:hangingChars="400" w:hanging="960"/>
              <w:rPr>
                <w:rFonts w:ascii="標楷體" w:eastAsia="標楷體" w:hAnsi="標楷體"/>
              </w:rPr>
            </w:pPr>
            <w:r w:rsidRPr="004E1B7B">
              <w:rPr>
                <w:rFonts w:ascii="標楷體" w:eastAsia="標楷體" w:hAnsi="標楷體" w:hint="eastAsia"/>
              </w:rPr>
              <w:t xml:space="preserve">　（四）收回期間超過一年部分，各年度預期收回之金額，應予揭露。</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lastRenderedPageBreak/>
              <w:t xml:space="preserve">　（五）已提供擔保，應予揭露。</w:t>
            </w:r>
          </w:p>
          <w:p w:rsidR="004E1B7B" w:rsidRPr="004E1B7B" w:rsidRDefault="004E1B7B" w:rsidP="00EC671F">
            <w:pPr>
              <w:snapToGrid w:val="0"/>
              <w:ind w:leftChars="100" w:left="1200" w:hangingChars="400" w:hanging="960"/>
              <w:rPr>
                <w:rFonts w:ascii="標楷體" w:eastAsia="標楷體" w:hAnsi="標楷體"/>
              </w:rPr>
            </w:pPr>
            <w:r w:rsidRPr="004E1B7B">
              <w:rPr>
                <w:rFonts w:ascii="標楷體" w:eastAsia="標楷體" w:hAnsi="標楷體" w:hint="eastAsia"/>
              </w:rPr>
              <w:t xml:space="preserve">　（六）業已確定無法收回者，應予轉銷。</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（七）資產負債表日應評估應收帳款</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無法收回之金額，提列適當之</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備抵呆帳，列為應收帳款之減</w:t>
            </w:r>
          </w:p>
          <w:p w:rsidR="004E1B7B" w:rsidRPr="004E1B7B" w:rsidRDefault="004E1B7B" w:rsidP="00EC671F">
            <w:pPr>
              <w:snapToGrid w:val="0"/>
              <w:ind w:leftChars="100" w:left="840" w:hangingChars="250" w:hanging="600"/>
              <w:rPr>
                <w:rFonts w:ascii="標楷體" w:eastAsia="標楷體" w:hAnsi="標楷體"/>
              </w:rPr>
            </w:pPr>
            <w:r w:rsidRPr="004E1B7B">
              <w:rPr>
                <w:rFonts w:ascii="標楷體" w:eastAsia="標楷體" w:hAnsi="標楷體" w:hint="eastAsia"/>
              </w:rPr>
              <w:t xml:space="preserve">        項。</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五、其他應收款：指不屬於應收票據、應收帳款之應收款項；其項目性質及應註明事項如下：</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（一）資產負債表日應評估其他應收款無法收回之金額，提列適當之備抵呆帳，列為其他應收款之減項。</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（二）其他應收款，為更明細之劃分者，備抵呆帳亦應比照分別列示。</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六、本期所得稅資產：指已支付所得稅金額超過本期及前期應付金額之部分。</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七、存貨：指持有供正常營運過程出售或將於服務提供過程中消耗之商品及材料；其項目性質及應註明事項如下：</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（一）存貨成本，包括所有購買成本及為使存貨達到目前之地點及狀態所生之其他成本，得依其種類或性質，採個別認定法、先進先出法或平均法計算之。</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（二）存貨應以成本與淨變現價值孰低衡量，當存貨成本高於淨變現價值時，應將成本沖減至淨變現價值，沖減金額應於發生當期認列為銷貨成本。</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（三）存貨有提供作質、擔保或由債權人監視使用等情事，應予揭露。</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八、預付款項：指預為支付之各項成本 </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lastRenderedPageBreak/>
              <w:t xml:space="preserve">    或費用，包括預付費用及預付購料</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    款等。</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九、待出售非流動資產：指於目前狀況 </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    下，可依一般條件及商業慣例立即</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    出售，且極有可能於一年內完成出</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    售之非流動資產或待出售處分群組</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    內之資產。</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十、其他流動資產：指不能歸屬於前九款之流動資產。</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不能歸屬於前項流動資產之各類資產，屬於非流動資產。</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19"/>
              </w:numPr>
              <w:spacing w:line="240" w:lineRule="atLeast"/>
              <w:rPr>
                <w:rFonts w:ascii="標楷體" w:eastAsia="標楷體" w:hAnsi="標楷體" w:cs="標楷體"/>
              </w:rPr>
            </w:pPr>
            <w:r w:rsidRPr="004E1B7B">
              <w:rPr>
                <w:rFonts w:ascii="標楷體" w:eastAsia="標楷體" w:hAnsi="標楷體" w:cs="標楷體" w:hint="eastAsia"/>
              </w:rPr>
              <w:lastRenderedPageBreak/>
              <w:t>明定流動資產項目定義、分類、內容、會計處理及表達等。</w:t>
            </w:r>
          </w:p>
          <w:p w:rsidR="004E1B7B" w:rsidRPr="004E1B7B" w:rsidRDefault="004E1B7B" w:rsidP="0062085D">
            <w:pPr>
              <w:pStyle w:val="Standard"/>
              <w:numPr>
                <w:ilvl w:val="0"/>
                <w:numId w:val="19"/>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參考全國性社會福利財團法人會計處理及財務報告編製準則第二十四條規定。</w:t>
            </w:r>
          </w:p>
        </w:tc>
      </w:tr>
      <w:tr w:rsidR="004E1B7B" w:rsidRPr="004E1B7B" w:rsidTr="00EC671F">
        <w:trPr>
          <w:trHeight w:val="1918"/>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第二十七條　第二十四條第一款第二目非流動資產之內容，包括下列項目：</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一、長期性投資。</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二、投資性不動產。</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三、不動產、廠房及設備。</w:t>
            </w:r>
          </w:p>
          <w:p w:rsidR="004E1B7B" w:rsidRPr="004E1B7B" w:rsidRDefault="004E1B7B" w:rsidP="00EC671F">
            <w:pPr>
              <w:snapToGrid w:val="0"/>
              <w:ind w:leftChars="100" w:left="240"/>
              <w:rPr>
                <w:rFonts w:ascii="標楷體" w:eastAsia="標楷體" w:hAnsi="標楷體"/>
                <w:strike/>
              </w:rPr>
            </w:pPr>
            <w:r w:rsidRPr="004E1B7B">
              <w:rPr>
                <w:rFonts w:ascii="標楷體" w:eastAsia="標楷體" w:hAnsi="標楷體" w:hint="eastAsia"/>
              </w:rPr>
              <w:t>四、其他非流動資產。</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0"/>
              </w:numPr>
              <w:spacing w:line="240" w:lineRule="atLeast"/>
              <w:rPr>
                <w:rFonts w:ascii="標楷體" w:eastAsia="標楷體" w:hAnsi="標楷體" w:cs="標楷體"/>
              </w:rPr>
            </w:pPr>
            <w:r w:rsidRPr="004E1B7B">
              <w:rPr>
                <w:rFonts w:ascii="標楷體" w:eastAsia="標楷體" w:hAnsi="標楷體" w:cs="標楷體" w:hint="eastAsia"/>
              </w:rPr>
              <w:t>明定非流動資產項目之內容。</w:t>
            </w:r>
          </w:p>
          <w:p w:rsidR="004E1B7B" w:rsidRPr="004E1B7B" w:rsidRDefault="004E1B7B" w:rsidP="0062085D">
            <w:pPr>
              <w:pStyle w:val="Standard"/>
              <w:numPr>
                <w:ilvl w:val="0"/>
                <w:numId w:val="20"/>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參考全國性社會福利財團法人會計處理及財務報告編製準則第二十五條規定。</w:t>
            </w:r>
          </w:p>
        </w:tc>
      </w:tr>
      <w:tr w:rsidR="004E1B7B" w:rsidRPr="004E1B7B" w:rsidTr="00EC671F">
        <w:trPr>
          <w:trHeight w:val="6069"/>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第二十八條　前條第一款長期性投資之內容，包括下列會計項目：</w:t>
            </w:r>
          </w:p>
          <w:p w:rsidR="004E1B7B" w:rsidRPr="004E1B7B" w:rsidRDefault="004E1B7B" w:rsidP="0062085D">
            <w:pPr>
              <w:pStyle w:val="a9"/>
              <w:numPr>
                <w:ilvl w:val="0"/>
                <w:numId w:val="35"/>
              </w:numPr>
              <w:snapToGrid w:val="0"/>
              <w:ind w:leftChars="0"/>
              <w:rPr>
                <w:rFonts w:ascii="標楷體" w:eastAsia="標楷體" w:hAnsi="標楷體"/>
              </w:rPr>
            </w:pPr>
            <w:r w:rsidRPr="004E1B7B">
              <w:rPr>
                <w:rFonts w:ascii="標楷體" w:eastAsia="標楷體" w:hAnsi="標楷體" w:hint="eastAsia"/>
              </w:rPr>
              <w:t>基金：指為特定用途所提撥之資產</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或受贈資產，因捐贈人限制而需專戶儲存之擴建基金、登記基金或社福基金等。基金提存所根據之議案、法令或捐贈人之限制等，應予註明。</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二、透過損益按公允價值衡量之金融資</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 xml:space="preserve">    產－非流動。</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三、備供出售金融資產－非流動。</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四、以成本衡量之金融資產－非流動。</w:t>
            </w:r>
          </w:p>
          <w:p w:rsidR="004E1B7B" w:rsidRPr="004E1B7B" w:rsidRDefault="004E1B7B" w:rsidP="00EC671F">
            <w:pPr>
              <w:snapToGrid w:val="0"/>
              <w:ind w:leftChars="100" w:left="600" w:hangingChars="150" w:hanging="360"/>
              <w:rPr>
                <w:rFonts w:ascii="標楷體" w:eastAsia="標楷體" w:hAnsi="標楷體"/>
              </w:rPr>
            </w:pPr>
            <w:r w:rsidRPr="004E1B7B">
              <w:rPr>
                <w:rFonts w:ascii="標楷體" w:eastAsia="標楷體" w:hAnsi="標楷體" w:hint="eastAsia"/>
              </w:rPr>
              <w:t>五、無活絡市場之債務工具投資－非流</w:t>
            </w:r>
          </w:p>
          <w:p w:rsidR="004E1B7B" w:rsidRPr="004E1B7B" w:rsidRDefault="004E1B7B" w:rsidP="00EC671F">
            <w:pPr>
              <w:snapToGrid w:val="0"/>
              <w:ind w:leftChars="200" w:left="480" w:firstLineChars="100" w:firstLine="240"/>
              <w:rPr>
                <w:rFonts w:ascii="標楷體" w:eastAsia="標楷體" w:hAnsi="標楷體"/>
              </w:rPr>
            </w:pPr>
            <w:r w:rsidRPr="004E1B7B">
              <w:rPr>
                <w:rFonts w:ascii="標楷體" w:eastAsia="標楷體" w:hAnsi="標楷體" w:hint="eastAsia"/>
              </w:rPr>
              <w:t>動。</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六、持有至到期日金融資產－非流動。</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七、採權益法之投資：指持有具重大影響力或控制力之權益工具投</w:t>
            </w:r>
            <w:r w:rsidRPr="004E1B7B">
              <w:rPr>
                <w:rFonts w:ascii="標楷體" w:eastAsia="標楷體" w:hAnsi="標楷體" w:hint="eastAsia"/>
              </w:rPr>
              <w:lastRenderedPageBreak/>
              <w:t>資。</w:t>
            </w:r>
          </w:p>
          <w:p w:rsidR="004E1B7B" w:rsidRPr="004E1B7B" w:rsidRDefault="004E1B7B" w:rsidP="00EC671F">
            <w:pPr>
              <w:snapToGrid w:val="0"/>
              <w:ind w:leftChars="100" w:left="240" w:firstLineChars="200" w:firstLine="480"/>
              <w:rPr>
                <w:rFonts w:ascii="標楷體" w:eastAsia="標楷體" w:hAnsi="標楷體"/>
                <w:strike/>
              </w:rPr>
            </w:pPr>
            <w:r w:rsidRPr="004E1B7B">
              <w:rPr>
                <w:rFonts w:ascii="標楷體" w:eastAsia="標楷體" w:hAnsi="標楷體" w:hint="eastAsia"/>
              </w:rPr>
              <w:t>長期性之投資，有提供作質，或受有約束、限制等情事者，應予揭露。</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7"/>
              </w:numPr>
              <w:rPr>
                <w:rFonts w:ascii="標楷體" w:eastAsia="標楷體" w:hAnsi="標楷體" w:cs="細明體"/>
                <w:sz w:val="23"/>
                <w:szCs w:val="23"/>
              </w:rPr>
            </w:pPr>
            <w:r w:rsidRPr="004E1B7B">
              <w:rPr>
                <w:rFonts w:ascii="標楷體" w:eastAsia="標楷體" w:hAnsi="標楷體" w:hint="eastAsia"/>
              </w:rPr>
              <w:lastRenderedPageBreak/>
              <w:t>說明長期性投資項目定義、分類、 內容、會計處理及表達。</w:t>
            </w:r>
          </w:p>
          <w:p w:rsidR="004E1B7B" w:rsidRPr="004E1B7B" w:rsidRDefault="004E1B7B" w:rsidP="0062085D">
            <w:pPr>
              <w:numPr>
                <w:ilvl w:val="0"/>
                <w:numId w:val="7"/>
              </w:numPr>
              <w:rPr>
                <w:rFonts w:ascii="標楷體" w:eastAsia="標楷體" w:hAnsi="標楷體" w:cs="細明體"/>
                <w:sz w:val="23"/>
                <w:szCs w:val="23"/>
              </w:rPr>
            </w:pPr>
            <w:r w:rsidRPr="004E1B7B">
              <w:rPr>
                <w:rFonts w:ascii="標楷體" w:eastAsia="標楷體" w:hAnsi="標楷體" w:hint="eastAsia"/>
              </w:rPr>
              <w:t>參考全國性社會福利財團法人會計處理及財務報告編製準則第二十六條規定。</w:t>
            </w:r>
          </w:p>
        </w:tc>
      </w:tr>
      <w:tr w:rsidR="004E1B7B" w:rsidRPr="004E1B7B" w:rsidTr="00EC671F">
        <w:trPr>
          <w:trHeight w:val="2400"/>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第二十九條　第二十七條第二款投資性不動產，指為賺取租金或資本增值或二者兼具，而由所有人或融資租賃之承租人所持有之不動產。</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前項投資性不動產，應按其成本原始認列。後續衡量，應以成本減除累計折舊及累計減損之帳面金額列示。</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1"/>
              </w:numPr>
              <w:spacing w:line="240" w:lineRule="atLeast"/>
              <w:rPr>
                <w:rFonts w:ascii="標楷體" w:eastAsia="標楷體" w:hAnsi="標楷體" w:cs="標楷體"/>
              </w:rPr>
            </w:pPr>
            <w:r w:rsidRPr="004E1B7B">
              <w:rPr>
                <w:rFonts w:ascii="標楷體" w:eastAsia="標楷體" w:hAnsi="標楷體" w:cs="標楷體" w:hint="eastAsia"/>
              </w:rPr>
              <w:t>說明投資性不動產定義及認列。</w:t>
            </w:r>
          </w:p>
          <w:p w:rsidR="004E1B7B" w:rsidRPr="004E1B7B" w:rsidRDefault="004E1B7B" w:rsidP="0062085D">
            <w:pPr>
              <w:pStyle w:val="Standard"/>
              <w:numPr>
                <w:ilvl w:val="0"/>
                <w:numId w:val="21"/>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參考全國性社會福利財團法人會計處理及財務報告編製準則第二十七條規定。</w:t>
            </w: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7214"/>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第三十條　第二十七條第三款不動產、廠房及設備，指用於商品或服務之生產，或提供、出租予他人，或供管理目的而持有，且預期使用期間超過一年之有形資產。</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前項不動產、廠房及設備，應依取得或建造時之原始成本及後續成本認列。</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前項原始成本，包括購買價格、使資產達到預期運作方式之必要狀態及地點，且直接可歸屬成本及未來拆卸、移除該資產或復原之任何可估計成本。後續成本，包括後續為增添、部分重置或維修所生之成本。</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財團法人應於資產負債表日，就第一項不動產、廠房及設備，依客觀證據評估其有無減損。有減損證據時，應依一般公認會計原則，認列減損損失金額。</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第一項不動產、廠房及設備，應以成本減除累計折舊及累計減損後之帳面金額列示；其所有權受限制及供作負債擔保之事實與金額，應予揭露。</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2"/>
              </w:numPr>
              <w:spacing w:line="240" w:lineRule="atLeast"/>
              <w:rPr>
                <w:rFonts w:ascii="標楷體" w:eastAsia="標楷體" w:hAnsi="標楷體" w:cs="標楷體"/>
              </w:rPr>
            </w:pPr>
            <w:r w:rsidRPr="004E1B7B">
              <w:rPr>
                <w:rFonts w:ascii="標楷體" w:eastAsia="標楷體" w:hAnsi="標楷體" w:cs="標楷體" w:hint="eastAsia"/>
              </w:rPr>
              <w:t>說明不動產、廠房及設備之定義、會計處理及揭露原則。</w:t>
            </w:r>
          </w:p>
          <w:p w:rsidR="004E1B7B" w:rsidRPr="004E1B7B" w:rsidRDefault="004E1B7B" w:rsidP="0062085D">
            <w:pPr>
              <w:pStyle w:val="Standard"/>
              <w:numPr>
                <w:ilvl w:val="0"/>
                <w:numId w:val="22"/>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參考全國性社會福利財團法人會計處理及財務報告編製準則第二十八條規定。</w:t>
            </w: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1394"/>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第三十一條　第二十七條第四款其他非流動資產，指不能歸類於第二十八條至前條之非流動資產。</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3"/>
              </w:numPr>
              <w:spacing w:line="240" w:lineRule="atLeast"/>
              <w:rPr>
                <w:rFonts w:ascii="標楷體" w:eastAsia="標楷體" w:hAnsi="標楷體" w:cs="標楷體"/>
              </w:rPr>
            </w:pPr>
            <w:r w:rsidRPr="004E1B7B">
              <w:rPr>
                <w:rFonts w:ascii="標楷體" w:eastAsia="標楷體" w:hAnsi="標楷體" w:cs="標楷體" w:hint="eastAsia"/>
              </w:rPr>
              <w:t>說明其他非流動資產之定義。如有重大其他非流動資產項目應單獨列示。</w:t>
            </w:r>
          </w:p>
          <w:p w:rsidR="004E1B7B" w:rsidRPr="004E1B7B" w:rsidRDefault="004E1B7B" w:rsidP="0062085D">
            <w:pPr>
              <w:pStyle w:val="Standard"/>
              <w:numPr>
                <w:ilvl w:val="0"/>
                <w:numId w:val="23"/>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參考全國性社會福利財團法人會計處理及財務報告編製準則第三十一條規定。</w:t>
            </w:r>
          </w:p>
        </w:tc>
      </w:tr>
      <w:tr w:rsidR="004E1B7B" w:rsidRPr="004E1B7B" w:rsidTr="00EC671F">
        <w:trPr>
          <w:trHeight w:val="2847"/>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第三十二條　第二十四條第二款第一目流動負債，指符合下列各款之一之負債：</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一、財團法人因業務所生債務，預期將於正常營運週期中清償者。</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二、主要為交易目的所生負債。</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三、須於資產負債表日後十二個月內清償之負債。</w:t>
            </w:r>
          </w:p>
          <w:p w:rsidR="004E1B7B" w:rsidRPr="004E1B7B" w:rsidRDefault="004E1B7B" w:rsidP="00EC671F">
            <w:pPr>
              <w:snapToGrid w:val="0"/>
              <w:ind w:leftChars="100" w:left="720" w:hangingChars="200" w:hanging="480"/>
              <w:rPr>
                <w:rFonts w:ascii="標楷體" w:eastAsia="標楷體" w:hAnsi="標楷體"/>
                <w:strike/>
              </w:rPr>
            </w:pPr>
            <w:r w:rsidRPr="004E1B7B">
              <w:rPr>
                <w:rFonts w:ascii="標楷體" w:eastAsia="標楷體" w:hAnsi="標楷體" w:hint="eastAsia"/>
              </w:rPr>
              <w:t>四、財團法人不得無條件延期至資產負債表日後逾十二個月清償之負債。</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4"/>
              </w:numPr>
              <w:spacing w:line="240" w:lineRule="atLeast"/>
              <w:rPr>
                <w:rFonts w:ascii="標楷體" w:eastAsia="標楷體" w:hAnsi="標楷體" w:cs="標楷體"/>
              </w:rPr>
            </w:pPr>
            <w:r w:rsidRPr="004E1B7B">
              <w:rPr>
                <w:rFonts w:ascii="標楷體" w:eastAsia="標楷體" w:hAnsi="標楷體" w:cs="標楷體" w:hint="eastAsia"/>
              </w:rPr>
              <w:t>說明流動負債之定義。</w:t>
            </w:r>
          </w:p>
          <w:p w:rsidR="004E1B7B" w:rsidRPr="004E1B7B" w:rsidRDefault="004E1B7B" w:rsidP="0062085D">
            <w:pPr>
              <w:pStyle w:val="Standard"/>
              <w:numPr>
                <w:ilvl w:val="0"/>
                <w:numId w:val="24"/>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參考全國性社會福利財團法人會計處理及財務報告編製準則第三十二條規定。</w:t>
            </w: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2536"/>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第三十三條　前條流動負債之會計項目分類與其帳項內容及應註明事項如下：</w:t>
            </w:r>
          </w:p>
          <w:p w:rsidR="004E1B7B" w:rsidRPr="004E1B7B" w:rsidRDefault="004E1B7B" w:rsidP="0062085D">
            <w:pPr>
              <w:pStyle w:val="a9"/>
              <w:numPr>
                <w:ilvl w:val="0"/>
                <w:numId w:val="36"/>
              </w:numPr>
              <w:snapToGrid w:val="0"/>
              <w:ind w:leftChars="0"/>
              <w:rPr>
                <w:rFonts w:ascii="標楷體" w:eastAsia="標楷體" w:hAnsi="標楷體"/>
              </w:rPr>
            </w:pPr>
            <w:r w:rsidRPr="004E1B7B">
              <w:rPr>
                <w:rFonts w:ascii="標楷體" w:eastAsia="標楷體" w:hAnsi="標楷體" w:hint="eastAsia"/>
              </w:rPr>
              <w:t xml:space="preserve">短期借款：指向金融機構或他人借 </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入或透支之款項；其項目性質及應註明事項如下：</w:t>
            </w:r>
          </w:p>
          <w:p w:rsidR="004E1B7B" w:rsidRPr="004E1B7B" w:rsidRDefault="004E1B7B" w:rsidP="00EC671F">
            <w:pPr>
              <w:snapToGrid w:val="0"/>
              <w:ind w:leftChars="200" w:left="1440" w:hangingChars="400" w:hanging="960"/>
              <w:rPr>
                <w:rFonts w:ascii="標楷體" w:eastAsia="標楷體" w:hAnsi="標楷體"/>
              </w:rPr>
            </w:pPr>
            <w:r w:rsidRPr="004E1B7B">
              <w:rPr>
                <w:rFonts w:ascii="標楷體" w:eastAsia="標楷體" w:hAnsi="標楷體" w:hint="eastAsia"/>
              </w:rPr>
              <w:t xml:space="preserve">　（一）應依借款種類註明借款性質、保證情形及利率區間，如有提供擔保品者，應註明擔保品名稱及帳面金額。</w:t>
            </w:r>
          </w:p>
          <w:p w:rsidR="004E1B7B" w:rsidRPr="004E1B7B" w:rsidRDefault="004E1B7B" w:rsidP="00EC671F">
            <w:pPr>
              <w:snapToGrid w:val="0"/>
              <w:ind w:leftChars="200" w:left="1440" w:hangingChars="400" w:hanging="960"/>
              <w:rPr>
                <w:rFonts w:ascii="標楷體" w:eastAsia="標楷體" w:hAnsi="標楷體"/>
              </w:rPr>
            </w:pPr>
            <w:r w:rsidRPr="004E1B7B">
              <w:rPr>
                <w:rFonts w:ascii="標楷體" w:eastAsia="標楷體" w:hAnsi="標楷體" w:hint="eastAsia"/>
              </w:rPr>
              <w:t xml:space="preserve">　（二）向金融機構、員工、關係人及其他個人或機構之借入款項，應分別揭露。</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二、應付票據：指應付之各種票據；其項目性質及應註明事項如下：</w:t>
            </w:r>
          </w:p>
          <w:p w:rsidR="004E1B7B" w:rsidRPr="004E1B7B" w:rsidRDefault="004E1B7B" w:rsidP="00EC671F">
            <w:pPr>
              <w:snapToGrid w:val="0"/>
              <w:ind w:leftChars="300" w:left="1320" w:hangingChars="250" w:hanging="600"/>
              <w:rPr>
                <w:rFonts w:ascii="標楷體" w:eastAsia="標楷體" w:hAnsi="標楷體"/>
              </w:rPr>
            </w:pPr>
            <w:r w:rsidRPr="004E1B7B">
              <w:rPr>
                <w:rFonts w:ascii="標楷體" w:eastAsia="標楷體" w:hAnsi="標楷體" w:hint="eastAsia"/>
              </w:rPr>
              <w:t>（一）因營運而發生與非因營運而</w:t>
            </w:r>
          </w:p>
          <w:p w:rsidR="004E1B7B" w:rsidRPr="004E1B7B" w:rsidRDefault="004E1B7B" w:rsidP="00EC671F">
            <w:pPr>
              <w:snapToGrid w:val="0"/>
              <w:ind w:leftChars="500" w:left="1200" w:firstLineChars="100" w:firstLine="240"/>
              <w:rPr>
                <w:rFonts w:ascii="標楷體" w:eastAsia="標楷體" w:hAnsi="標楷體"/>
              </w:rPr>
            </w:pPr>
            <w:r w:rsidRPr="004E1B7B">
              <w:rPr>
                <w:rFonts w:ascii="標楷體" w:eastAsia="標楷體" w:hAnsi="標楷體" w:hint="eastAsia"/>
              </w:rPr>
              <w:t>發生者，應分別列示。</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（二）金額重大之應付關係人票</w:t>
            </w:r>
          </w:p>
          <w:p w:rsidR="004E1B7B" w:rsidRPr="004E1B7B" w:rsidRDefault="004E1B7B" w:rsidP="00EC671F">
            <w:pPr>
              <w:snapToGrid w:val="0"/>
              <w:ind w:leftChars="500" w:left="1200" w:firstLineChars="100" w:firstLine="240"/>
              <w:rPr>
                <w:rFonts w:ascii="標楷體" w:eastAsia="標楷體" w:hAnsi="標楷體"/>
              </w:rPr>
            </w:pPr>
            <w:r w:rsidRPr="004E1B7B">
              <w:rPr>
                <w:rFonts w:ascii="標楷體" w:eastAsia="標楷體" w:hAnsi="標楷體" w:hint="eastAsia"/>
              </w:rPr>
              <w:t>據，應單獨列示。</w:t>
            </w:r>
          </w:p>
          <w:p w:rsidR="004E1B7B" w:rsidRPr="004E1B7B" w:rsidRDefault="004E1B7B" w:rsidP="00EC671F">
            <w:pPr>
              <w:snapToGrid w:val="0"/>
              <w:ind w:leftChars="100" w:left="1080" w:hangingChars="350" w:hanging="8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（三）已提供擔保品者，應揭露擔</w:t>
            </w:r>
          </w:p>
          <w:p w:rsidR="004E1B7B" w:rsidRPr="004E1B7B" w:rsidRDefault="004E1B7B" w:rsidP="00EC671F">
            <w:pPr>
              <w:snapToGrid w:val="0"/>
              <w:ind w:leftChars="400" w:left="960" w:firstLineChars="200" w:firstLine="480"/>
              <w:rPr>
                <w:rFonts w:ascii="標楷體" w:eastAsia="標楷體" w:hAnsi="標楷體"/>
              </w:rPr>
            </w:pPr>
            <w:r w:rsidRPr="004E1B7B">
              <w:rPr>
                <w:rFonts w:ascii="標楷體" w:eastAsia="標楷體" w:hAnsi="標楷體" w:hint="eastAsia"/>
              </w:rPr>
              <w:t>保品名稱及帳面金額。</w:t>
            </w:r>
          </w:p>
          <w:p w:rsidR="004E1B7B" w:rsidRPr="004E1B7B" w:rsidRDefault="004E1B7B" w:rsidP="00EC671F">
            <w:pPr>
              <w:snapToGrid w:val="0"/>
              <w:ind w:leftChars="100" w:left="1560" w:hangingChars="550" w:hanging="132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（四）存出保證用之票據，於保證</w:t>
            </w:r>
          </w:p>
          <w:p w:rsidR="004E1B7B" w:rsidRPr="004E1B7B" w:rsidRDefault="004E1B7B" w:rsidP="00EC671F">
            <w:pPr>
              <w:snapToGrid w:val="0"/>
              <w:ind w:leftChars="600" w:left="1560" w:hangingChars="50" w:hanging="120"/>
              <w:rPr>
                <w:rFonts w:ascii="標楷體" w:eastAsia="標楷體" w:hAnsi="標楷體"/>
              </w:rPr>
            </w:pPr>
            <w:r w:rsidRPr="004E1B7B">
              <w:rPr>
                <w:rFonts w:ascii="標楷體" w:eastAsia="標楷體" w:hAnsi="標楷體" w:hint="eastAsia"/>
              </w:rPr>
              <w:t>之責任終止時可收回註銷</w:t>
            </w:r>
          </w:p>
          <w:p w:rsidR="004E1B7B" w:rsidRPr="004E1B7B" w:rsidRDefault="004E1B7B" w:rsidP="00EC671F">
            <w:pPr>
              <w:snapToGrid w:val="0"/>
              <w:ind w:leftChars="600" w:left="1440"/>
              <w:rPr>
                <w:rFonts w:ascii="標楷體" w:eastAsia="標楷體" w:hAnsi="標楷體"/>
              </w:rPr>
            </w:pPr>
            <w:r w:rsidRPr="004E1B7B">
              <w:rPr>
                <w:rFonts w:ascii="標楷體" w:eastAsia="標楷體" w:hAnsi="標楷體" w:hint="eastAsia"/>
              </w:rPr>
              <w:t>者，得不列為流動負債，但應揭露保證之性質及金額。</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三、應付帳款：指因賒購原物料、商品或服務所發生之債務；其項目性質及應註明事項如下：</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（一）因營運而發生與非因營運而發生者，應分別列示。</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（二）金額重大之應付關係人款項，應單獨列示。</w:t>
            </w:r>
          </w:p>
          <w:p w:rsidR="004E1B7B" w:rsidRPr="004E1B7B" w:rsidRDefault="004E1B7B" w:rsidP="00EC671F">
            <w:pPr>
              <w:snapToGrid w:val="0"/>
              <w:ind w:leftChars="100" w:left="1320" w:hangingChars="450" w:hanging="1080"/>
              <w:rPr>
                <w:rFonts w:ascii="標楷體" w:eastAsia="標楷體" w:hAnsi="標楷體"/>
              </w:rPr>
            </w:pPr>
            <w:r w:rsidRPr="004E1B7B">
              <w:rPr>
                <w:rFonts w:ascii="標楷體" w:eastAsia="標楷體" w:hAnsi="標楷體" w:hint="eastAsia"/>
              </w:rPr>
              <w:t xml:space="preserve">　 （三）已提供擔保品者，應揭露擔保品名稱及帳面金額。</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四、其他應付款：不屬於應付票據及應付帳款之其他應付款項，如應付稅捐及應付薪資等。</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五、本期所得稅負債：指尚未支付之</w:t>
            </w:r>
            <w:r w:rsidRPr="004E1B7B">
              <w:rPr>
                <w:rFonts w:ascii="標楷體" w:eastAsia="標楷體" w:hAnsi="標楷體" w:hint="eastAsia"/>
              </w:rPr>
              <w:lastRenderedPageBreak/>
              <w:t>本期及前期所得稅。</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六、預收款項：指預為收納之各種款項；其應按主要類別分別列示，有特別約定事項者，應予揭露。</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七、負債準備－流動：指不確定時點或金額之流動負債。財團法人因過去事件而負有現時義務，且很有可能需要流出具經濟效益之資源以清償該義務，及該義務之金額能可靠估計時，應認列負債準備。</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八、存入保證金－流動：指收到存入供保證用之現金或其他資產。</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九、其他流動負債：指不能歸屬於前八款之流動負債。</w:t>
            </w:r>
          </w:p>
          <w:p w:rsidR="004E1B7B" w:rsidRPr="004E1B7B" w:rsidRDefault="004E1B7B" w:rsidP="00EC671F">
            <w:pPr>
              <w:snapToGrid w:val="0"/>
              <w:ind w:leftChars="100" w:left="240" w:firstLineChars="200" w:firstLine="480"/>
              <w:rPr>
                <w:rFonts w:ascii="標楷體" w:eastAsia="標楷體" w:hAnsi="標楷體"/>
                <w:strike/>
              </w:rPr>
            </w:pPr>
            <w:r w:rsidRPr="004E1B7B">
              <w:rPr>
                <w:rFonts w:ascii="標楷體" w:eastAsia="標楷體" w:hAnsi="標楷體" w:hint="eastAsia"/>
              </w:rPr>
              <w:t>不能歸屬於前項流動負債之各類負債，應分類為非流動負債。</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numPr>
                <w:ilvl w:val="0"/>
                <w:numId w:val="8"/>
              </w:numPr>
              <w:rPr>
                <w:rFonts w:ascii="標楷體" w:eastAsia="標楷體" w:hAnsi="標楷體" w:cs="細明體"/>
                <w:sz w:val="23"/>
                <w:szCs w:val="23"/>
              </w:rPr>
            </w:pPr>
            <w:r w:rsidRPr="004E1B7B">
              <w:rPr>
                <w:rFonts w:ascii="標楷體" w:eastAsia="標楷體" w:hAnsi="標楷體" w:hint="eastAsia"/>
              </w:rPr>
              <w:lastRenderedPageBreak/>
              <w:t>說明流動負債之會計項目分類、內 容、會計處理及表達等。如有重大其他流動負債項目應單獨列示。</w:t>
            </w:r>
          </w:p>
          <w:p w:rsidR="004E1B7B" w:rsidRPr="004E1B7B" w:rsidRDefault="004E1B7B" w:rsidP="0062085D">
            <w:pPr>
              <w:numPr>
                <w:ilvl w:val="0"/>
                <w:numId w:val="8"/>
              </w:numPr>
              <w:rPr>
                <w:rFonts w:ascii="標楷體" w:eastAsia="標楷體" w:hAnsi="標楷體" w:cs="細明體"/>
                <w:sz w:val="23"/>
                <w:szCs w:val="23"/>
              </w:rPr>
            </w:pPr>
            <w:r w:rsidRPr="004E1B7B">
              <w:rPr>
                <w:rFonts w:ascii="標楷體" w:eastAsia="標楷體" w:hAnsi="標楷體" w:hint="eastAsia"/>
              </w:rPr>
              <w:t>參考全國性社會福利財團法人會計處理及財務報告編製準則第</w:t>
            </w:r>
            <w:r w:rsidRPr="004E1B7B">
              <w:rPr>
                <w:rFonts w:ascii="標楷體" w:eastAsia="標楷體" w:hAnsi="標楷體" w:cs="標楷體" w:hint="eastAsia"/>
              </w:rPr>
              <w:t>三十三</w:t>
            </w:r>
            <w:r w:rsidRPr="004E1B7B">
              <w:rPr>
                <w:rFonts w:ascii="標楷體" w:eastAsia="標楷體" w:hAnsi="標楷體" w:hint="eastAsia"/>
              </w:rPr>
              <w:t>條規定。</w:t>
            </w:r>
          </w:p>
        </w:tc>
      </w:tr>
      <w:tr w:rsidR="004E1B7B" w:rsidRPr="004E1B7B" w:rsidTr="00EC671F">
        <w:trPr>
          <w:trHeight w:val="6941"/>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第三十四條　第二十四條第二款第二目非流動負債，應包括下列各項目：</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一、長期借款：指到期日在一年以上之借款，其項目性質及應說明事項如下：</w:t>
            </w:r>
          </w:p>
          <w:p w:rsidR="004E1B7B" w:rsidRPr="004E1B7B" w:rsidRDefault="004E1B7B" w:rsidP="00EC671F">
            <w:pPr>
              <w:snapToGrid w:val="0"/>
              <w:ind w:leftChars="100" w:left="240"/>
              <w:rPr>
                <w:rFonts w:ascii="標楷體" w:eastAsia="標楷體" w:hAnsi="標楷體"/>
              </w:rPr>
            </w:pPr>
            <w:r w:rsidRPr="004E1B7B">
              <w:rPr>
                <w:rFonts w:ascii="標楷體" w:eastAsia="標楷體" w:hAnsi="標楷體" w:hint="eastAsia"/>
              </w:rPr>
              <w:t xml:space="preserve">　 （一）應以攤銷後成本衡量。</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（二）應揭露其內容、到期日、利</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率、擔保品名稱、帳面金額   </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及其他約定重要限制條款；</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其以外幣或按外幣兌換率折</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算償還者，應註明外幣名稱</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及金額。</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（三）向員工及關係人借入之長期</w:t>
            </w:r>
          </w:p>
          <w:p w:rsidR="004E1B7B" w:rsidRPr="004E1B7B" w:rsidRDefault="004E1B7B" w:rsidP="00EC671F">
            <w:pPr>
              <w:snapToGrid w:val="0"/>
              <w:ind w:leftChars="100" w:left="960" w:hangingChars="300" w:hanging="720"/>
              <w:rPr>
                <w:rFonts w:ascii="標楷體" w:eastAsia="標楷體" w:hAnsi="標楷體"/>
              </w:rPr>
            </w:pPr>
            <w:r w:rsidRPr="004E1B7B">
              <w:rPr>
                <w:rFonts w:ascii="標楷體" w:eastAsia="標楷體" w:hAnsi="標楷體" w:hint="eastAsia"/>
              </w:rPr>
              <w:t xml:space="preserve">         款項，應分別註明。</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二、長期應付票據及款項：指付款期間在一年以上之應付票據、應付帳款，應以攤銷後成本衡量。</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三、負債準備－非流動：指不確定時點或金額之非流動負債。</w:t>
            </w:r>
          </w:p>
          <w:p w:rsidR="004E1B7B" w:rsidRPr="004E1B7B" w:rsidRDefault="004E1B7B" w:rsidP="00EC671F">
            <w:pPr>
              <w:snapToGrid w:val="0"/>
              <w:ind w:leftChars="100" w:left="720" w:hangingChars="200" w:hanging="480"/>
              <w:rPr>
                <w:rFonts w:ascii="標楷體" w:eastAsia="標楷體" w:hAnsi="標楷體"/>
              </w:rPr>
            </w:pPr>
            <w:r w:rsidRPr="004E1B7B">
              <w:rPr>
                <w:rFonts w:ascii="標楷體" w:eastAsia="標楷體" w:hAnsi="標楷體" w:hint="eastAsia"/>
              </w:rPr>
              <w:t>四、存入保證金－非流動：指收到存入供保證用之現金或其他資產。</w:t>
            </w:r>
          </w:p>
          <w:p w:rsidR="004E1B7B" w:rsidRPr="004E1B7B" w:rsidRDefault="004E1B7B" w:rsidP="00EC671F">
            <w:pPr>
              <w:snapToGrid w:val="0"/>
              <w:ind w:leftChars="100" w:left="720" w:hangingChars="200" w:hanging="480"/>
              <w:rPr>
                <w:rFonts w:ascii="標楷體" w:eastAsia="標楷體" w:hAnsi="標楷體"/>
                <w:strike/>
              </w:rPr>
            </w:pPr>
            <w:r w:rsidRPr="004E1B7B">
              <w:rPr>
                <w:rFonts w:ascii="標楷體" w:eastAsia="標楷體" w:hAnsi="標楷體" w:hint="eastAsia"/>
              </w:rPr>
              <w:t>五、其他非流動負債：指不能歸屬於前四款之非流動負債。</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5"/>
              </w:numPr>
              <w:spacing w:line="240" w:lineRule="atLeast"/>
              <w:rPr>
                <w:rFonts w:ascii="標楷體" w:eastAsia="標楷體" w:hAnsi="標楷體" w:cs="標楷體"/>
              </w:rPr>
            </w:pPr>
            <w:r w:rsidRPr="004E1B7B">
              <w:rPr>
                <w:rFonts w:ascii="標楷體" w:eastAsia="標楷體" w:hAnsi="標楷體" w:cs="標楷體" w:hint="eastAsia"/>
              </w:rPr>
              <w:t>說明非流動負債項目之定義、分類、內容、會計處理及表達等。如有重大其他非流動負債項目應單獨列示。</w:t>
            </w:r>
          </w:p>
          <w:p w:rsidR="004E1B7B" w:rsidRPr="004E1B7B" w:rsidRDefault="004E1B7B" w:rsidP="0062085D">
            <w:pPr>
              <w:pStyle w:val="Standard"/>
              <w:numPr>
                <w:ilvl w:val="0"/>
                <w:numId w:val="25"/>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參考全國性社會福利財團法人會計處理及財務報告編製準則第三十四條規定。</w:t>
            </w: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3527"/>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第三十五條　第二十四條第三款財團法人資產負債表之淨值，其會計項目分類如下:</w:t>
            </w:r>
          </w:p>
          <w:p w:rsidR="004E1B7B" w:rsidRPr="004E1B7B" w:rsidRDefault="004E1B7B" w:rsidP="0062085D">
            <w:pPr>
              <w:pStyle w:val="a9"/>
              <w:numPr>
                <w:ilvl w:val="0"/>
                <w:numId w:val="37"/>
              </w:numPr>
              <w:snapToGrid w:val="0"/>
              <w:ind w:leftChars="0"/>
              <w:rPr>
                <w:rFonts w:ascii="標楷體" w:eastAsia="標楷體" w:hAnsi="標楷體"/>
              </w:rPr>
            </w:pPr>
            <w:r w:rsidRPr="004E1B7B">
              <w:rPr>
                <w:rFonts w:ascii="標楷體" w:eastAsia="標楷體" w:hAnsi="標楷體" w:hint="eastAsia"/>
              </w:rPr>
              <w:t>基金：本法第二條第五項規定之範圍。</w:t>
            </w:r>
          </w:p>
          <w:p w:rsidR="004E1B7B" w:rsidRPr="004E1B7B" w:rsidRDefault="004E1B7B" w:rsidP="0062085D">
            <w:pPr>
              <w:pStyle w:val="a9"/>
              <w:numPr>
                <w:ilvl w:val="0"/>
                <w:numId w:val="37"/>
              </w:numPr>
              <w:snapToGrid w:val="0"/>
              <w:ind w:leftChars="0"/>
              <w:rPr>
                <w:rFonts w:ascii="標楷體" w:eastAsia="標楷體" w:hAnsi="標楷體"/>
              </w:rPr>
            </w:pPr>
            <w:r w:rsidRPr="004E1B7B">
              <w:rPr>
                <w:rFonts w:ascii="標楷體" w:eastAsia="標楷體" w:hAnsi="標楷體" w:hint="eastAsia"/>
              </w:rPr>
              <w:t>公積：依董事會通過自歷年賸餘提</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撥之公積。</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三、累積餘絀：累積賸餘或累積短絀。</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四、淨值其他項目：累積其他綜合餘及</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未認列為退休金成本之淨短絀等淨</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值之調整項目。</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6"/>
              </w:numPr>
              <w:spacing w:line="240" w:lineRule="atLeast"/>
              <w:rPr>
                <w:rFonts w:ascii="標楷體" w:eastAsia="標楷體" w:hAnsi="標楷體" w:cs="標楷體"/>
              </w:rPr>
            </w:pPr>
            <w:r w:rsidRPr="004E1B7B">
              <w:rPr>
                <w:rFonts w:ascii="標楷體" w:eastAsia="標楷體" w:hAnsi="標楷體" w:cs="標楷體" w:hint="eastAsia"/>
              </w:rPr>
              <w:t>說明財團法人資產負債表中淨值之定義、分類、內容、會計處理及表達。</w:t>
            </w:r>
          </w:p>
          <w:p w:rsidR="004E1B7B" w:rsidRPr="004E1B7B" w:rsidRDefault="004E1B7B" w:rsidP="0062085D">
            <w:pPr>
              <w:pStyle w:val="Standard"/>
              <w:numPr>
                <w:ilvl w:val="0"/>
                <w:numId w:val="26"/>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參考全國性內政財團法人會計處理及財務報告編製準則第二十條規定。</w:t>
            </w: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6363"/>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第三十六條　第二十三條第一項第二款</w:t>
            </w:r>
            <w:bookmarkStart w:id="13" w:name="_Hlk17990589"/>
            <w:r w:rsidRPr="004E1B7B">
              <w:rPr>
                <w:rFonts w:ascii="標楷體" w:eastAsia="標楷體" w:hAnsi="標楷體" w:hint="eastAsia"/>
              </w:rPr>
              <w:t>決算書及第三項第二款</w:t>
            </w:r>
            <w:bookmarkEnd w:id="13"/>
            <w:r w:rsidRPr="004E1B7B">
              <w:rPr>
                <w:rFonts w:ascii="標楷體" w:eastAsia="標楷體" w:hAnsi="標楷體" w:hint="eastAsia"/>
              </w:rPr>
              <w:t>收支餘絀表之內容如下：</w:t>
            </w:r>
          </w:p>
          <w:p w:rsidR="004E1B7B" w:rsidRPr="004E1B7B" w:rsidRDefault="004E1B7B" w:rsidP="0062085D">
            <w:pPr>
              <w:pStyle w:val="a9"/>
              <w:numPr>
                <w:ilvl w:val="0"/>
                <w:numId w:val="38"/>
              </w:numPr>
              <w:snapToGrid w:val="0"/>
              <w:ind w:leftChars="0"/>
              <w:rPr>
                <w:rFonts w:ascii="標楷體" w:eastAsia="標楷體" w:hAnsi="標楷體"/>
              </w:rPr>
            </w:pPr>
            <w:r w:rsidRPr="004E1B7B">
              <w:rPr>
                <w:rFonts w:ascii="標楷體" w:eastAsia="標楷體" w:hAnsi="標楷體" w:hint="eastAsia"/>
              </w:rPr>
              <w:t>收入：因提供各項服務等所獲得之</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收入，其認列應依一般公認會計原則規定辦理；其項目之分類如下。</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（一）財產收入。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（二）利息收入。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（三）股利收入。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（四）捐助收入。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（五）業務收入。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（六）政府補助收入。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(七) 委辦收入。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（八）其他收入。</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二、支出：指財團法人本期因提供各項</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服務等所應負擔之支出，其項目之</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分類如下：</w:t>
            </w:r>
          </w:p>
          <w:p w:rsidR="004E1B7B" w:rsidRPr="004E1B7B" w:rsidRDefault="004E1B7B" w:rsidP="00EC671F">
            <w:pPr>
              <w:snapToGrid w:val="0"/>
              <w:rPr>
                <w:rFonts w:ascii="標楷體" w:eastAsia="標楷體" w:hAnsi="標楷體"/>
              </w:rPr>
            </w:pPr>
            <w:r w:rsidRPr="004E1B7B">
              <w:rPr>
                <w:rFonts w:ascii="標楷體" w:eastAsia="標楷體" w:hAnsi="標楷體" w:hint="eastAsia"/>
              </w:rPr>
              <w:t xml:space="preserve">　　 （一）社會福利支出(業務支出)。</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（二）社會公益活動支出。</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（三）行政管理費。</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（四）其他支出。</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三、本期結餘：本期收入減除支出後之</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餘額。</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62085D">
            <w:pPr>
              <w:pStyle w:val="Standard"/>
              <w:numPr>
                <w:ilvl w:val="0"/>
                <w:numId w:val="27"/>
              </w:numPr>
              <w:spacing w:line="240" w:lineRule="atLeast"/>
              <w:rPr>
                <w:rFonts w:ascii="標楷體" w:eastAsia="標楷體" w:hAnsi="標楷體" w:cs="標楷體"/>
              </w:rPr>
            </w:pPr>
            <w:r w:rsidRPr="004E1B7B">
              <w:rPr>
                <w:rFonts w:ascii="標楷體" w:eastAsia="標楷體" w:hAnsi="標楷體" w:cs="標楷體" w:hint="eastAsia"/>
              </w:rPr>
              <w:t>訂定</w:t>
            </w:r>
            <w:r w:rsidRPr="004E1B7B">
              <w:rPr>
                <w:rFonts w:ascii="標楷體" w:eastAsia="標楷體" w:hAnsi="標楷體" w:hint="eastAsia"/>
              </w:rPr>
              <w:t>收支餘絀表(決算書)</w:t>
            </w:r>
            <w:r w:rsidRPr="004E1B7B">
              <w:rPr>
                <w:rFonts w:ascii="標楷體" w:eastAsia="標楷體" w:hAnsi="標楷體" w:cs="標楷體" w:hint="eastAsia"/>
              </w:rPr>
              <w:t>內容及其相關會計科目之內涵。</w:t>
            </w:r>
          </w:p>
          <w:p w:rsidR="004E1B7B" w:rsidRPr="004E1B7B" w:rsidRDefault="004E1B7B" w:rsidP="0062085D">
            <w:pPr>
              <w:pStyle w:val="Standard"/>
              <w:numPr>
                <w:ilvl w:val="0"/>
                <w:numId w:val="27"/>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參考全國性社會福利財團法人會計處理及財務報告編製準則第三十六條規定，並依衛生福利部統計報表及本市社會福利財團法人決算表內容調整項目。</w:t>
            </w:r>
          </w:p>
          <w:p w:rsidR="004E1B7B" w:rsidRPr="004E1B7B" w:rsidRDefault="004E1B7B" w:rsidP="00EC671F">
            <w:pPr>
              <w:pStyle w:val="Standard"/>
              <w:spacing w:line="240" w:lineRule="atLeast"/>
              <w:rPr>
                <w:rFonts w:ascii="標楷體" w:eastAsia="標楷體" w:hAnsi="標楷體" w:cs="標楷體"/>
              </w:rPr>
            </w:pPr>
          </w:p>
          <w:p w:rsidR="004E1B7B" w:rsidRPr="004E1B7B" w:rsidRDefault="004E1B7B" w:rsidP="00EC671F">
            <w:pPr>
              <w:pStyle w:val="Standard"/>
              <w:spacing w:line="240" w:lineRule="atLeast"/>
              <w:rPr>
                <w:rFonts w:ascii="標楷體" w:eastAsia="標楷體" w:hAnsi="標楷體" w:cs="標楷體"/>
              </w:rPr>
            </w:pPr>
          </w:p>
          <w:p w:rsidR="004E1B7B" w:rsidRPr="004E1B7B" w:rsidRDefault="004E1B7B" w:rsidP="00EC671F">
            <w:pPr>
              <w:pStyle w:val="Standard"/>
              <w:spacing w:line="240" w:lineRule="atLeast"/>
              <w:rPr>
                <w:rFonts w:ascii="標楷體" w:eastAsia="標楷體" w:hAnsi="標楷體" w:cs="標楷體"/>
              </w:rPr>
            </w:pPr>
          </w:p>
          <w:p w:rsidR="004E1B7B" w:rsidRPr="004E1B7B" w:rsidRDefault="004E1B7B" w:rsidP="00EC671F">
            <w:pPr>
              <w:pStyle w:val="Standard"/>
              <w:spacing w:line="240" w:lineRule="atLeast"/>
              <w:rPr>
                <w:rFonts w:ascii="標楷體" w:eastAsia="標楷體" w:hAnsi="標楷體" w:cs="標楷體"/>
              </w:rPr>
            </w:pP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1305"/>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DFKaiShu-SB-Estd-BF" w:eastAsia="DFKaiShu-SB-Estd-BF" w:hAnsiTheme="minorHAnsi" w:cs="DFKaiShu-SB-Estd-BF"/>
                <w:kern w:val="0"/>
                <w:sz w:val="21"/>
                <w:szCs w:val="21"/>
              </w:rPr>
            </w:pPr>
            <w:bookmarkStart w:id="14" w:name="_Hlk17903695"/>
            <w:r w:rsidRPr="004E1B7B">
              <w:rPr>
                <w:rFonts w:ascii="標楷體" w:eastAsia="標楷體" w:hAnsi="標楷體" w:hint="eastAsia"/>
              </w:rPr>
              <w:lastRenderedPageBreak/>
              <w:t>第三十七條　第二十三條第三項第三款淨值變動表之內容，應包括基金、公積、累積餘絀及淨值其他項目之期初餘額、本期增減情形及期末餘額。</w:t>
            </w:r>
            <w:bookmarkEnd w:id="14"/>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30"/>
              </w:numPr>
              <w:spacing w:line="240" w:lineRule="atLeast"/>
              <w:rPr>
                <w:rFonts w:ascii="標楷體" w:eastAsia="標楷體" w:hAnsi="標楷體" w:cs="標楷體"/>
              </w:rPr>
            </w:pPr>
            <w:r w:rsidRPr="004E1B7B">
              <w:rPr>
                <w:rFonts w:ascii="標楷體" w:eastAsia="標楷體" w:hAnsi="標楷體" w:cs="標楷體" w:hint="eastAsia"/>
              </w:rPr>
              <w:t>訂定淨值變動表內容。</w:t>
            </w:r>
          </w:p>
          <w:p w:rsidR="004E1B7B" w:rsidRPr="004E1B7B" w:rsidRDefault="004E1B7B" w:rsidP="0062085D">
            <w:pPr>
              <w:pStyle w:val="Standard"/>
              <w:numPr>
                <w:ilvl w:val="0"/>
                <w:numId w:val="30"/>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參考全國性內政財團法人會計處理及財務報告編製準則第二十二條規定。</w:t>
            </w:r>
          </w:p>
        </w:tc>
      </w:tr>
      <w:tr w:rsidR="004E1B7B" w:rsidRPr="004E1B7B" w:rsidTr="00EC671F">
        <w:trPr>
          <w:trHeight w:val="1704"/>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第三十八條　</w:t>
            </w:r>
            <w:bookmarkStart w:id="15" w:name="_Hlk17903733"/>
            <w:r w:rsidRPr="004E1B7B">
              <w:rPr>
                <w:rFonts w:ascii="標楷體" w:eastAsia="標楷體" w:hAnsi="標楷體" w:hint="eastAsia"/>
              </w:rPr>
              <w:t>第二十三條第三項第四款現金流量表之內容如下：</w:t>
            </w:r>
          </w:p>
          <w:p w:rsidR="004E1B7B" w:rsidRPr="004E1B7B" w:rsidRDefault="004E1B7B" w:rsidP="0062085D">
            <w:pPr>
              <w:pStyle w:val="a9"/>
              <w:numPr>
                <w:ilvl w:val="0"/>
                <w:numId w:val="39"/>
              </w:numPr>
              <w:snapToGrid w:val="0"/>
              <w:ind w:leftChars="0"/>
              <w:rPr>
                <w:rFonts w:ascii="標楷體" w:eastAsia="標楷體" w:hAnsi="標楷體"/>
              </w:rPr>
            </w:pPr>
            <w:r w:rsidRPr="004E1B7B">
              <w:rPr>
                <w:rFonts w:ascii="標楷體" w:eastAsia="標楷體" w:hAnsi="標楷體" w:hint="eastAsia"/>
              </w:rPr>
              <w:t>業務活動之現金流量，指投資、籌</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資活動以外，列入本期收支計算之交易及其他事項所產生之現金及約當現金（包括現金及自投資日起三個月內到期或清償之債權證券）之流入與流出。</w:t>
            </w:r>
          </w:p>
          <w:p w:rsidR="004E1B7B" w:rsidRPr="004E1B7B" w:rsidRDefault="004E1B7B" w:rsidP="0062085D">
            <w:pPr>
              <w:pStyle w:val="a9"/>
              <w:numPr>
                <w:ilvl w:val="0"/>
                <w:numId w:val="39"/>
              </w:numPr>
              <w:snapToGrid w:val="0"/>
              <w:ind w:leftChars="0"/>
              <w:rPr>
                <w:rFonts w:ascii="標楷體" w:eastAsia="標楷體" w:hAnsi="標楷體"/>
              </w:rPr>
            </w:pPr>
            <w:r w:rsidRPr="004E1B7B">
              <w:rPr>
                <w:rFonts w:ascii="標楷體" w:eastAsia="標楷體" w:hAnsi="標楷體" w:hint="eastAsia"/>
              </w:rPr>
              <w:t>投資活動之現金流量，指取得及處</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分約當現金以外之流動金融資產、投資、不動產廠房及設備、投資性不動產、無形資產、什項資產，及減少約當現金以外之長期應收款、遞延資產，取得利息、訂定現金流量表內容及其相關會計項目之定義。股利屬投資之報酬，所產生之現金流入與流出。</w:t>
            </w:r>
          </w:p>
          <w:p w:rsidR="004E1B7B" w:rsidRPr="004E1B7B" w:rsidRDefault="004E1B7B" w:rsidP="0062085D">
            <w:pPr>
              <w:pStyle w:val="a9"/>
              <w:numPr>
                <w:ilvl w:val="0"/>
                <w:numId w:val="39"/>
              </w:numPr>
              <w:snapToGrid w:val="0"/>
              <w:ind w:leftChars="0"/>
              <w:rPr>
                <w:rFonts w:ascii="標楷體" w:eastAsia="標楷體" w:hAnsi="標楷體"/>
              </w:rPr>
            </w:pPr>
            <w:r w:rsidRPr="004E1B7B">
              <w:rPr>
                <w:rFonts w:ascii="標楷體" w:eastAsia="標楷體" w:hAnsi="標楷體" w:hint="eastAsia"/>
              </w:rPr>
              <w:t>籌資活動之現金流量，指增加及減</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少債務、其他負債、基金、公積及支付利息，所產生之現金流入與流出。</w:t>
            </w:r>
          </w:p>
          <w:p w:rsidR="004E1B7B" w:rsidRPr="004E1B7B" w:rsidRDefault="004E1B7B" w:rsidP="0062085D">
            <w:pPr>
              <w:pStyle w:val="a9"/>
              <w:numPr>
                <w:ilvl w:val="0"/>
                <w:numId w:val="39"/>
              </w:numPr>
              <w:snapToGrid w:val="0"/>
              <w:ind w:leftChars="0"/>
              <w:rPr>
                <w:rFonts w:ascii="標楷體" w:eastAsia="標楷體" w:hAnsi="標楷體"/>
              </w:rPr>
            </w:pPr>
            <w:r w:rsidRPr="004E1B7B">
              <w:rPr>
                <w:rFonts w:ascii="標楷體" w:eastAsia="標楷體" w:hAnsi="標楷體" w:hint="eastAsia"/>
              </w:rPr>
              <w:t>現金及約當現金之淨增（淨減），</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指本期業務、投資及籌資活動所產生之現金流入大於現金流出之數，為現金及約當現金之淨增；反之，則為現金及約當現金之淨減。</w:t>
            </w:r>
          </w:p>
          <w:p w:rsidR="004E1B7B" w:rsidRPr="004E1B7B" w:rsidRDefault="004E1B7B" w:rsidP="0062085D">
            <w:pPr>
              <w:pStyle w:val="a9"/>
              <w:numPr>
                <w:ilvl w:val="0"/>
                <w:numId w:val="39"/>
              </w:numPr>
              <w:snapToGrid w:val="0"/>
              <w:ind w:leftChars="0"/>
              <w:rPr>
                <w:rFonts w:ascii="標楷體" w:eastAsia="標楷體" w:hAnsi="標楷體"/>
              </w:rPr>
            </w:pPr>
            <w:r w:rsidRPr="004E1B7B">
              <w:rPr>
                <w:rFonts w:ascii="標楷體" w:eastAsia="標楷體" w:hAnsi="標楷體" w:hint="eastAsia"/>
              </w:rPr>
              <w:t>期初現金及約當現金，指本期期初</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現金及自投資日起三個月內到期或清償之債權證券，合計之數。</w:t>
            </w:r>
          </w:p>
          <w:p w:rsidR="004E1B7B" w:rsidRPr="004E1B7B" w:rsidRDefault="004E1B7B" w:rsidP="0062085D">
            <w:pPr>
              <w:pStyle w:val="a9"/>
              <w:numPr>
                <w:ilvl w:val="0"/>
                <w:numId w:val="39"/>
              </w:numPr>
              <w:snapToGrid w:val="0"/>
              <w:ind w:leftChars="0"/>
              <w:rPr>
                <w:rFonts w:ascii="標楷體" w:eastAsia="標楷體" w:hAnsi="標楷體"/>
              </w:rPr>
            </w:pPr>
            <w:r w:rsidRPr="004E1B7B">
              <w:rPr>
                <w:rFonts w:ascii="標楷體" w:eastAsia="標楷體" w:hAnsi="標楷體" w:hint="eastAsia"/>
              </w:rPr>
              <w:t>期末現金及約當現金，指本期期末</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現金及自投資日起三個月內到期或清償之債權證券，合計之數。</w:t>
            </w:r>
            <w:bookmarkEnd w:id="15"/>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31"/>
              </w:numPr>
              <w:spacing w:line="240" w:lineRule="atLeast"/>
              <w:rPr>
                <w:rFonts w:ascii="標楷體" w:eastAsia="標楷體" w:hAnsi="標楷體" w:cs="標楷體"/>
              </w:rPr>
            </w:pPr>
            <w:r w:rsidRPr="004E1B7B">
              <w:rPr>
                <w:rFonts w:ascii="標楷體" w:eastAsia="標楷體" w:hAnsi="標楷體" w:cs="標楷體" w:hint="eastAsia"/>
              </w:rPr>
              <w:t>訂定現金流量表內容及其相關會計項目之定義。</w:t>
            </w:r>
          </w:p>
          <w:p w:rsidR="004E1B7B" w:rsidRPr="004E1B7B" w:rsidRDefault="004E1B7B" w:rsidP="0062085D">
            <w:pPr>
              <w:pStyle w:val="Standard"/>
              <w:numPr>
                <w:ilvl w:val="0"/>
                <w:numId w:val="31"/>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參考全國性內政財團法人會計處理及財務報告編製準則第二十三條規定。</w:t>
            </w:r>
          </w:p>
          <w:p w:rsidR="004E1B7B" w:rsidRPr="004E1B7B" w:rsidRDefault="004E1B7B" w:rsidP="00EC671F">
            <w:pPr>
              <w:pStyle w:val="Standard"/>
              <w:spacing w:line="240" w:lineRule="atLeast"/>
              <w:rPr>
                <w:rFonts w:ascii="標楷體" w:eastAsia="標楷體" w:hAnsi="標楷體" w:cs="標楷體"/>
              </w:rPr>
            </w:pPr>
          </w:p>
        </w:tc>
      </w:tr>
      <w:tr w:rsidR="004E1B7B" w:rsidRPr="004E1B7B" w:rsidTr="00EC671F">
        <w:trPr>
          <w:trHeight w:val="1704"/>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 xml:space="preserve">第三十九條　</w:t>
            </w:r>
            <w:bookmarkStart w:id="16" w:name="_Hlk17903835"/>
            <w:r w:rsidRPr="004E1B7B">
              <w:rPr>
                <w:rFonts w:ascii="標楷體" w:eastAsia="標楷體" w:hAnsi="標楷體" w:hint="eastAsia"/>
              </w:rPr>
              <w:t>第二十三條第三項第五款附註或附表，包括功能別費用表。</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前項功能別費用表，應按功能別及性質別，將各項支出歸類如下：</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一、功能別：</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（一）營運支出。</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（二）行政管理支出。</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二、性質別：</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（一）用人費用。</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（二）服務費用。</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（三）材料及用品消耗。</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（四）租金費用。</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（五）折舊及攤銷。</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（六）捐贈費用。</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（七）訓練費用。</w:t>
            </w:r>
          </w:p>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（八）其他。</w:t>
            </w:r>
            <w:bookmarkEnd w:id="16"/>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32"/>
              </w:numPr>
              <w:spacing w:line="240" w:lineRule="atLeast"/>
              <w:rPr>
                <w:rFonts w:ascii="標楷體" w:eastAsia="標楷體" w:hAnsi="標楷體" w:cs="標楷體"/>
              </w:rPr>
            </w:pPr>
            <w:r w:rsidRPr="004E1B7B">
              <w:rPr>
                <w:rFonts w:ascii="標楷體" w:eastAsia="標楷體" w:hAnsi="標楷體" w:cs="標楷體" w:hint="eastAsia"/>
              </w:rPr>
              <w:t>明定功能別費用表之意義及編製方式。</w:t>
            </w:r>
          </w:p>
          <w:p w:rsidR="004E1B7B" w:rsidRPr="004E1B7B" w:rsidRDefault="004E1B7B" w:rsidP="0062085D">
            <w:pPr>
              <w:pStyle w:val="Standard"/>
              <w:numPr>
                <w:ilvl w:val="0"/>
                <w:numId w:val="32"/>
              </w:numPr>
              <w:spacing w:line="240" w:lineRule="atLeast"/>
              <w:rPr>
                <w:rFonts w:ascii="標楷體" w:eastAsia="標楷體" w:hAnsi="標楷體" w:cs="標楷體"/>
              </w:rPr>
            </w:pPr>
            <w:r w:rsidRPr="004E1B7B">
              <w:rPr>
                <w:rFonts w:ascii="標楷體" w:eastAsia="標楷體" w:hAnsi="標楷體" w:cs="標楷體" w:hint="eastAsia"/>
              </w:rPr>
              <w:t>財團法人功能別費用表，按功能別（業務支出、行政管理支出）與性質別（用人費用等八類），將各項支出歸類，可反映財團法人服務成本支出與資源耗用情形。</w:t>
            </w:r>
          </w:p>
          <w:p w:rsidR="004E1B7B" w:rsidRPr="004E1B7B" w:rsidRDefault="004E1B7B" w:rsidP="0062085D">
            <w:pPr>
              <w:pStyle w:val="Standard"/>
              <w:numPr>
                <w:ilvl w:val="0"/>
                <w:numId w:val="32"/>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參考全國性社會福利財團法人會計處理及財務報告編製準則第三十九條規定。</w:t>
            </w:r>
          </w:p>
        </w:tc>
      </w:tr>
      <w:tr w:rsidR="004E1B7B" w:rsidRPr="004E1B7B" w:rsidTr="00EC671F">
        <w:trPr>
          <w:trHeight w:val="1704"/>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第四十條　</w:t>
            </w:r>
            <w:bookmarkStart w:id="17" w:name="_Hlk17903847"/>
            <w:r w:rsidRPr="004E1B7B">
              <w:rPr>
                <w:rFonts w:ascii="標楷體" w:eastAsia="標楷體" w:hAnsi="標楷體" w:hint="eastAsia"/>
              </w:rPr>
              <w:t>第二十三條第三項第五款附註或附表，包括附屬作業組織之收支餘絀表；其會計項目及分類如下：</w:t>
            </w:r>
          </w:p>
          <w:p w:rsidR="004E1B7B" w:rsidRPr="004E1B7B" w:rsidRDefault="004E1B7B" w:rsidP="0062085D">
            <w:pPr>
              <w:pStyle w:val="a9"/>
              <w:numPr>
                <w:ilvl w:val="0"/>
                <w:numId w:val="40"/>
              </w:numPr>
              <w:snapToGrid w:val="0"/>
              <w:ind w:leftChars="0"/>
              <w:rPr>
                <w:rFonts w:ascii="標楷體" w:eastAsia="標楷體" w:hAnsi="標楷體"/>
              </w:rPr>
            </w:pPr>
            <w:r w:rsidRPr="004E1B7B">
              <w:rPr>
                <w:rFonts w:ascii="標楷體" w:eastAsia="標楷體" w:hAnsi="標楷體" w:hint="eastAsia"/>
              </w:rPr>
              <w:t>收入：指附屬作業組織本期內提供</w:t>
            </w:r>
          </w:p>
          <w:p w:rsidR="004E1B7B" w:rsidRPr="004E1B7B" w:rsidRDefault="004E1B7B" w:rsidP="00EC671F">
            <w:pPr>
              <w:pStyle w:val="a9"/>
              <w:snapToGrid w:val="0"/>
              <w:ind w:leftChars="0" w:left="720"/>
              <w:rPr>
                <w:rFonts w:ascii="標楷體" w:eastAsia="標楷體" w:hAnsi="標楷體"/>
              </w:rPr>
            </w:pPr>
            <w:r w:rsidRPr="004E1B7B">
              <w:rPr>
                <w:rFonts w:ascii="標楷體" w:eastAsia="標楷體" w:hAnsi="標楷體" w:hint="eastAsia"/>
              </w:rPr>
              <w:t>各項服務所獲得之收入；其分類如下：</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（一）營運收入。</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（二）銷售貨物或勞務收入。</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（三）政府補助收入。</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（四）委辦收入。</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（五）捐贈收入。</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（六）利息收入。</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（七）股利收入。</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（八）其他收入。</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二、費用：指附屬作業組織本期內提供</w:t>
            </w:r>
          </w:p>
          <w:p w:rsidR="004E1B7B" w:rsidRPr="004E1B7B" w:rsidRDefault="004E1B7B" w:rsidP="00EC671F">
            <w:pPr>
              <w:snapToGrid w:val="0"/>
              <w:ind w:firstLineChars="300" w:firstLine="720"/>
              <w:rPr>
                <w:rFonts w:ascii="標楷體" w:eastAsia="標楷體" w:hAnsi="標楷體"/>
              </w:rPr>
            </w:pPr>
            <w:r w:rsidRPr="004E1B7B">
              <w:rPr>
                <w:rFonts w:ascii="標楷體" w:eastAsia="標楷體" w:hAnsi="標楷體" w:hint="eastAsia"/>
              </w:rPr>
              <w:t>各項服務所應負擔之成本費用；其</w:t>
            </w:r>
          </w:p>
          <w:p w:rsidR="004E1B7B" w:rsidRPr="004E1B7B" w:rsidRDefault="004E1B7B" w:rsidP="00EC671F">
            <w:pPr>
              <w:snapToGrid w:val="0"/>
              <w:ind w:firstLineChars="300" w:firstLine="720"/>
              <w:rPr>
                <w:rFonts w:ascii="標楷體" w:eastAsia="標楷體" w:hAnsi="標楷體"/>
              </w:rPr>
            </w:pPr>
            <w:r w:rsidRPr="004E1B7B">
              <w:rPr>
                <w:rFonts w:ascii="標楷體" w:eastAsia="標楷體" w:hAnsi="標楷體" w:hint="eastAsia"/>
              </w:rPr>
              <w:t>分類如下：</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（一）營運成本。</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（二）銷售貨物或勞務成本。</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 xml:space="preserve"> （三）行政管理支出。</w:t>
            </w:r>
          </w:p>
          <w:p w:rsidR="004E1B7B" w:rsidRPr="004E1B7B" w:rsidRDefault="004E1B7B" w:rsidP="00EC671F">
            <w:pPr>
              <w:autoSpaceDE w:val="0"/>
              <w:autoSpaceDN w:val="0"/>
              <w:adjustRightInd w:val="0"/>
              <w:rPr>
                <w:rFonts w:ascii="標楷體" w:eastAsia="標楷體" w:hAnsi="標楷體"/>
              </w:rPr>
            </w:pPr>
            <w:r w:rsidRPr="004E1B7B">
              <w:rPr>
                <w:rFonts w:ascii="標楷體" w:eastAsia="標楷體" w:hAnsi="標楷體" w:hint="eastAsia"/>
              </w:rPr>
              <w:t xml:space="preserve">    </w:t>
            </w:r>
            <w:r w:rsidRPr="004E1B7B">
              <w:rPr>
                <w:rFonts w:ascii="標楷體" w:eastAsia="標楷體" w:hAnsi="標楷體"/>
              </w:rPr>
              <w:t xml:space="preserve"> </w:t>
            </w:r>
            <w:r w:rsidRPr="004E1B7B">
              <w:rPr>
                <w:rFonts w:ascii="標楷體" w:eastAsia="標楷體" w:hAnsi="標楷體" w:hint="eastAsia"/>
              </w:rPr>
              <w:t>（四）其他支出。</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三、本期餘絀：指附屬作業組織本期之</w:t>
            </w:r>
          </w:p>
          <w:p w:rsidR="004E1B7B" w:rsidRPr="004E1B7B" w:rsidRDefault="004E1B7B" w:rsidP="00EC671F">
            <w:pPr>
              <w:snapToGrid w:val="0"/>
              <w:ind w:leftChars="200" w:left="480" w:firstLineChars="100" w:firstLine="240"/>
              <w:rPr>
                <w:rFonts w:ascii="標楷體" w:eastAsia="標楷體" w:hAnsi="標楷體"/>
              </w:rPr>
            </w:pPr>
            <w:r w:rsidRPr="004E1B7B">
              <w:rPr>
                <w:rFonts w:ascii="標楷體" w:eastAsia="標楷體" w:hAnsi="標楷體" w:hint="eastAsia"/>
              </w:rPr>
              <w:lastRenderedPageBreak/>
              <w:t>賸餘或短絀。</w:t>
            </w:r>
            <w:bookmarkEnd w:id="17"/>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33"/>
              </w:numPr>
              <w:spacing w:line="240" w:lineRule="atLeast"/>
              <w:rPr>
                <w:rFonts w:ascii="標楷體" w:eastAsia="標楷體" w:hAnsi="標楷體" w:cs="標楷體"/>
              </w:rPr>
            </w:pPr>
            <w:r w:rsidRPr="004E1B7B">
              <w:rPr>
                <w:rFonts w:ascii="標楷體" w:eastAsia="標楷體" w:hAnsi="標楷體" w:cs="標楷體" w:hint="eastAsia"/>
              </w:rPr>
              <w:lastRenderedPageBreak/>
              <w:t>明定附屬作業組織之收支餘絀表之意義及編製方式。</w:t>
            </w:r>
          </w:p>
          <w:p w:rsidR="004E1B7B" w:rsidRPr="004E1B7B" w:rsidRDefault="004E1B7B" w:rsidP="0062085D">
            <w:pPr>
              <w:pStyle w:val="Standard"/>
              <w:numPr>
                <w:ilvl w:val="0"/>
                <w:numId w:val="33"/>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參考全國性社會福利財團法人會計處理及財務報告編製準則第四十條規定</w:t>
            </w:r>
          </w:p>
        </w:tc>
      </w:tr>
      <w:tr w:rsidR="004E1B7B" w:rsidRPr="004E1B7B" w:rsidTr="00EC671F">
        <w:trPr>
          <w:trHeight w:val="1704"/>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 xml:space="preserve">第四十一條　</w:t>
            </w:r>
            <w:bookmarkStart w:id="18" w:name="_Hlk17903859"/>
            <w:r w:rsidRPr="004E1B7B">
              <w:rPr>
                <w:rFonts w:ascii="標楷體" w:eastAsia="標楷體" w:hAnsi="標楷體" w:hint="eastAsia"/>
              </w:rPr>
              <w:t>財務報表附註，指下列事項之揭露：</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一、組織沿革及業務範圍。</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二、聲明依本法、本準則、相關法令及</w:t>
            </w:r>
          </w:p>
          <w:p w:rsidR="004E1B7B" w:rsidRPr="004E1B7B" w:rsidRDefault="004E1B7B" w:rsidP="00EC671F">
            <w:pPr>
              <w:snapToGrid w:val="0"/>
              <w:ind w:leftChars="200" w:left="480" w:firstLineChars="100" w:firstLine="240"/>
              <w:rPr>
                <w:rFonts w:ascii="標楷體" w:eastAsia="標楷體" w:hAnsi="標楷體"/>
              </w:rPr>
            </w:pPr>
            <w:r w:rsidRPr="004E1B7B">
              <w:rPr>
                <w:rFonts w:ascii="標楷體" w:eastAsia="標楷體" w:hAnsi="標楷體" w:hint="eastAsia"/>
              </w:rPr>
              <w:t>一般公認會計原則編製。</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三、衡量基礎及其他重大會計政策。</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四、會計政策變更之理由及影響。</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五、受法令、契約或其他約束限制者，</w:t>
            </w:r>
          </w:p>
          <w:p w:rsidR="004E1B7B" w:rsidRPr="004E1B7B" w:rsidRDefault="004E1B7B" w:rsidP="00EC671F">
            <w:pPr>
              <w:snapToGrid w:val="0"/>
              <w:ind w:leftChars="200" w:left="480" w:firstLineChars="100" w:firstLine="240"/>
              <w:rPr>
                <w:rFonts w:ascii="標楷體" w:eastAsia="標楷體" w:hAnsi="標楷體"/>
              </w:rPr>
            </w:pPr>
            <w:r w:rsidRPr="004E1B7B">
              <w:rPr>
                <w:rFonts w:ascii="標楷體" w:eastAsia="標楷體" w:hAnsi="標楷體" w:hint="eastAsia"/>
              </w:rPr>
              <w:t>應註明其限制、時效及有關事項。</w:t>
            </w:r>
          </w:p>
          <w:p w:rsidR="004E1B7B" w:rsidRPr="004E1B7B" w:rsidRDefault="004E1B7B" w:rsidP="00EC671F">
            <w:pPr>
              <w:snapToGrid w:val="0"/>
              <w:ind w:left="720" w:hangingChars="300" w:hanging="720"/>
              <w:rPr>
                <w:rFonts w:ascii="標楷體" w:eastAsia="標楷體" w:hAnsi="標楷體"/>
              </w:rPr>
            </w:pPr>
            <w:r w:rsidRPr="004E1B7B">
              <w:rPr>
                <w:rFonts w:ascii="標楷體" w:eastAsia="標楷體" w:hAnsi="標楷體" w:hint="eastAsia"/>
              </w:rPr>
              <w:t xml:space="preserve">  六、資產與負債區分流動、非流動之分類標準。</w:t>
            </w:r>
          </w:p>
          <w:p w:rsidR="004E1B7B" w:rsidRPr="004E1B7B" w:rsidRDefault="004E1B7B" w:rsidP="00EC671F">
            <w:pPr>
              <w:snapToGrid w:val="0"/>
              <w:ind w:left="720" w:hangingChars="300" w:hanging="720"/>
              <w:rPr>
                <w:rFonts w:ascii="標楷體" w:eastAsia="標楷體" w:hAnsi="標楷體"/>
              </w:rPr>
            </w:pPr>
            <w:r w:rsidRPr="004E1B7B">
              <w:rPr>
                <w:rFonts w:ascii="標楷體" w:eastAsia="標楷體" w:hAnsi="標楷體" w:hint="eastAsia"/>
              </w:rPr>
              <w:t xml:space="preserve">  七、重大或有負債及未認列之合約承諾。</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八、淨值之變動及重大事項。</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九、投資相關資訊。</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十、與關係人之重大交易事項。</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十一、重大災害損失。</w:t>
            </w:r>
          </w:p>
          <w:p w:rsidR="004E1B7B" w:rsidRPr="004E1B7B" w:rsidRDefault="004E1B7B" w:rsidP="00EC671F">
            <w:pPr>
              <w:snapToGrid w:val="0"/>
              <w:ind w:left="960" w:hangingChars="400" w:hanging="960"/>
              <w:rPr>
                <w:rFonts w:ascii="標楷體" w:eastAsia="標楷體" w:hAnsi="標楷體"/>
              </w:rPr>
            </w:pPr>
            <w:r w:rsidRPr="004E1B7B">
              <w:rPr>
                <w:rFonts w:ascii="標楷體" w:eastAsia="標楷體" w:hAnsi="標楷體" w:hint="eastAsia"/>
              </w:rPr>
              <w:t xml:space="preserve">  十二、獎勵或捐贈之對象、目的、金額、必要性與當年獎勵或捐贈累計額度達主管機關依本法第二十一條第三項公告之一定數額，及報經許可之文號。</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十三、重大之期後事項。</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十四、重要訴訟案件之進行或終結。</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十五、設立機構之財務資訊。</w:t>
            </w:r>
          </w:p>
          <w:p w:rsidR="004E1B7B" w:rsidRPr="004E1B7B" w:rsidRDefault="004E1B7B" w:rsidP="00EC671F">
            <w:pPr>
              <w:snapToGrid w:val="0"/>
              <w:ind w:left="960" w:hangingChars="400" w:hanging="960"/>
              <w:rPr>
                <w:rFonts w:ascii="標楷體" w:eastAsia="標楷體" w:hAnsi="標楷體"/>
              </w:rPr>
            </w:pPr>
            <w:r w:rsidRPr="004E1B7B">
              <w:rPr>
                <w:rFonts w:ascii="標楷體" w:eastAsia="標楷體" w:hAnsi="標楷體" w:hint="eastAsia"/>
              </w:rPr>
              <w:t xml:space="preserve">  十六、重要組織之調整及管理制度之重大改革。</w:t>
            </w:r>
          </w:p>
          <w:p w:rsidR="004E1B7B" w:rsidRPr="004E1B7B" w:rsidRDefault="004E1B7B" w:rsidP="00EC671F">
            <w:pPr>
              <w:snapToGrid w:val="0"/>
              <w:ind w:left="480" w:hangingChars="200" w:hanging="480"/>
              <w:rPr>
                <w:rFonts w:ascii="標楷體" w:eastAsia="標楷體" w:hAnsi="標楷體"/>
              </w:rPr>
            </w:pPr>
            <w:r w:rsidRPr="004E1B7B">
              <w:rPr>
                <w:rFonts w:ascii="標楷體" w:eastAsia="標楷體" w:hAnsi="標楷體" w:hint="eastAsia"/>
              </w:rPr>
              <w:t xml:space="preserve">  十七、政府法令變更所生之重大影響。</w:t>
            </w:r>
          </w:p>
          <w:p w:rsidR="004E1B7B" w:rsidRPr="004E1B7B" w:rsidRDefault="004E1B7B" w:rsidP="00EC671F">
            <w:pPr>
              <w:snapToGrid w:val="0"/>
              <w:ind w:left="960" w:hangingChars="400" w:hanging="960"/>
              <w:rPr>
                <w:rFonts w:ascii="標楷體" w:eastAsia="標楷體" w:hAnsi="標楷體"/>
              </w:rPr>
            </w:pPr>
            <w:r w:rsidRPr="004E1B7B">
              <w:rPr>
                <w:rFonts w:ascii="標楷體" w:eastAsia="標楷體" w:hAnsi="標楷體" w:hint="eastAsia"/>
              </w:rPr>
              <w:t xml:space="preserve">  十八、其他為避免誤解或有助於財務報表之允當表達所必要說明之事項。</w:t>
            </w:r>
          </w:p>
          <w:p w:rsidR="004E1B7B" w:rsidRPr="004E1B7B" w:rsidRDefault="004E1B7B" w:rsidP="00EC671F">
            <w:pPr>
              <w:snapToGrid w:val="0"/>
              <w:ind w:leftChars="100" w:left="240" w:firstLineChars="200" w:firstLine="480"/>
              <w:rPr>
                <w:rFonts w:ascii="標楷體" w:eastAsia="標楷體" w:hAnsi="標楷體"/>
              </w:rPr>
            </w:pPr>
            <w:r w:rsidRPr="004E1B7B">
              <w:rPr>
                <w:rFonts w:ascii="標楷體" w:eastAsia="標楷體" w:hAnsi="標楷體" w:hint="eastAsia"/>
              </w:rPr>
              <w:t>財團法人無前項第七款、第十款或第十三款事項者，亦應記載「無」。</w:t>
            </w:r>
            <w:bookmarkEnd w:id="18"/>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34"/>
              </w:numPr>
              <w:spacing w:line="240" w:lineRule="atLeast"/>
              <w:rPr>
                <w:rFonts w:ascii="標楷體" w:eastAsia="標楷體" w:hAnsi="標楷體" w:cs="標楷體"/>
              </w:rPr>
            </w:pPr>
            <w:r w:rsidRPr="004E1B7B">
              <w:rPr>
                <w:rFonts w:ascii="標楷體" w:eastAsia="標楷體" w:hAnsi="標楷體" w:cs="標楷體" w:hint="eastAsia"/>
              </w:rPr>
              <w:t>明定財團法人財務報告基本應揭露</w:t>
            </w:r>
          </w:p>
          <w:p w:rsidR="004E1B7B" w:rsidRPr="004E1B7B" w:rsidRDefault="004E1B7B" w:rsidP="00EC671F">
            <w:pPr>
              <w:pStyle w:val="Standard"/>
              <w:spacing w:line="240" w:lineRule="atLeast"/>
              <w:ind w:left="480"/>
              <w:rPr>
                <w:rFonts w:ascii="標楷體" w:eastAsia="標楷體" w:hAnsi="標楷體" w:cs="標楷體"/>
              </w:rPr>
            </w:pPr>
            <w:r w:rsidRPr="004E1B7B">
              <w:rPr>
                <w:rFonts w:ascii="標楷體" w:eastAsia="標楷體" w:hAnsi="標楷體" w:cs="標楷體" w:hint="eastAsia"/>
              </w:rPr>
              <w:t>之資訊，並應揭露淨值之變動。</w:t>
            </w:r>
          </w:p>
          <w:p w:rsidR="004E1B7B" w:rsidRPr="004E1B7B" w:rsidRDefault="004E1B7B" w:rsidP="0062085D">
            <w:pPr>
              <w:pStyle w:val="Standard"/>
              <w:numPr>
                <w:ilvl w:val="0"/>
                <w:numId w:val="34"/>
              </w:numPr>
              <w:spacing w:line="240" w:lineRule="atLeast"/>
              <w:rPr>
                <w:rFonts w:ascii="標楷體" w:eastAsia="標楷體" w:hAnsi="標楷體" w:cs="標楷體"/>
              </w:rPr>
            </w:pPr>
            <w:r w:rsidRPr="004E1B7B">
              <w:rPr>
                <w:rFonts w:ascii="標楷體" w:eastAsia="標楷體" w:hAnsi="標楷體" w:cs="標楷體" w:hint="eastAsia"/>
              </w:rPr>
              <w:t>參考全國性社會福利財團法人會計處理及財務報告編製準則第四十一條規定。</w:t>
            </w:r>
          </w:p>
        </w:tc>
      </w:tr>
      <w:tr w:rsidR="004E1B7B" w:rsidRPr="004E1B7B" w:rsidTr="00EC671F">
        <w:trPr>
          <w:trHeight w:val="1704"/>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lastRenderedPageBreak/>
              <w:t>第四十二條　財務報告應由財團法人</w:t>
            </w:r>
            <w:bookmarkStart w:id="19" w:name="_Hlk17906065"/>
            <w:r w:rsidRPr="004E1B7B">
              <w:rPr>
                <w:rFonts w:ascii="標楷體" w:eastAsia="標楷體" w:hAnsi="標楷體" w:hint="eastAsia"/>
              </w:rPr>
              <w:t>執行長或與執行長職位相當之人及主辦或經辦</w:t>
            </w:r>
            <w:bookmarkEnd w:id="19"/>
            <w:r w:rsidRPr="004E1B7B">
              <w:rPr>
                <w:rFonts w:ascii="標楷體" w:eastAsia="標楷體" w:hAnsi="標楷體" w:hint="eastAsia"/>
              </w:rPr>
              <w:t>會計人員簽名或蓋章；其有關各類主管或主辦人員之事務者，並應由該事務之主管或主辦人員會同簽名或蓋章。</w:t>
            </w:r>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62085D">
            <w:pPr>
              <w:pStyle w:val="Standard"/>
              <w:numPr>
                <w:ilvl w:val="0"/>
                <w:numId w:val="28"/>
              </w:numPr>
              <w:spacing w:line="240" w:lineRule="atLeast"/>
              <w:rPr>
                <w:rFonts w:ascii="標楷體" w:eastAsia="標楷體" w:hAnsi="標楷體" w:cs="標楷體"/>
              </w:rPr>
            </w:pPr>
            <w:r w:rsidRPr="004E1B7B">
              <w:rPr>
                <w:rFonts w:ascii="標楷體" w:eastAsia="標楷體" w:hAnsi="標楷體" w:cs="標楷體" w:hint="eastAsia"/>
              </w:rPr>
              <w:t>訂定財務報告應經相關人員簽名或蓋章。</w:t>
            </w:r>
          </w:p>
          <w:p w:rsidR="004E1B7B" w:rsidRPr="004E1B7B" w:rsidRDefault="004E1B7B" w:rsidP="0062085D">
            <w:pPr>
              <w:pStyle w:val="Standard"/>
              <w:numPr>
                <w:ilvl w:val="0"/>
                <w:numId w:val="28"/>
              </w:numPr>
              <w:spacing w:line="240" w:lineRule="atLeast"/>
              <w:rPr>
                <w:rFonts w:ascii="標楷體" w:eastAsia="標楷體" w:hAnsi="標楷體" w:cs="標楷體"/>
              </w:rPr>
            </w:pPr>
            <w:r w:rsidRPr="004E1B7B">
              <w:rPr>
                <w:rFonts w:ascii="標楷體" w:eastAsia="標楷體" w:hAnsi="標楷體" w:cs="標楷體" w:hint="eastAsia"/>
              </w:rPr>
              <w:t>參考全國性內政財團法人會計處理及財務報告編製準則第二十五條規定。</w:t>
            </w:r>
          </w:p>
        </w:tc>
      </w:tr>
      <w:tr w:rsidR="004E1B7B" w:rsidRPr="004E1B7B" w:rsidTr="00EC671F">
        <w:trPr>
          <w:trHeight w:val="411"/>
        </w:trPr>
        <w:tc>
          <w:tcPr>
            <w:tcW w:w="2463"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snapToGrid w:val="0"/>
              <w:ind w:left="240" w:hangingChars="100" w:hanging="240"/>
              <w:rPr>
                <w:rFonts w:ascii="標楷體" w:eastAsia="標楷體" w:hAnsi="標楷體"/>
              </w:rPr>
            </w:pPr>
            <w:r w:rsidRPr="004E1B7B">
              <w:rPr>
                <w:rFonts w:ascii="標楷體" w:eastAsia="標楷體" w:hAnsi="標楷體" w:hint="eastAsia"/>
              </w:rPr>
              <w:t>第四章　附則</w:t>
            </w:r>
          </w:p>
        </w:tc>
        <w:tc>
          <w:tcPr>
            <w:tcW w:w="2537" w:type="pct"/>
            <w:tcBorders>
              <w:top w:val="single" w:sz="4" w:space="0" w:color="auto"/>
              <w:left w:val="single" w:sz="4" w:space="0" w:color="auto"/>
              <w:bottom w:val="single" w:sz="4" w:space="0" w:color="auto"/>
              <w:right w:val="single" w:sz="4" w:space="0" w:color="auto"/>
            </w:tcBorders>
          </w:tcPr>
          <w:p w:rsidR="004E1B7B" w:rsidRPr="004E1B7B" w:rsidRDefault="004E1B7B" w:rsidP="00EC671F">
            <w:pPr>
              <w:rPr>
                <w:rFonts w:ascii="標楷體" w:eastAsia="標楷體" w:hAnsi="標楷體"/>
                <w:snapToGrid w:val="0"/>
                <w:kern w:val="0"/>
              </w:rPr>
            </w:pPr>
            <w:r w:rsidRPr="004E1B7B">
              <w:rPr>
                <w:rFonts w:ascii="標楷體" w:eastAsia="標楷體" w:hAnsi="標楷體" w:hint="eastAsia"/>
                <w:snapToGrid w:val="0"/>
                <w:kern w:val="0"/>
              </w:rPr>
              <w:t>明定章名。</w:t>
            </w:r>
          </w:p>
        </w:tc>
      </w:tr>
      <w:tr w:rsidR="004E1B7B" w:rsidRPr="004E1B7B" w:rsidTr="00EC671F">
        <w:trPr>
          <w:trHeight w:val="411"/>
        </w:trPr>
        <w:tc>
          <w:tcPr>
            <w:tcW w:w="2463"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snapToGrid w:val="0"/>
              <w:ind w:left="240" w:hangingChars="100" w:hanging="240"/>
              <w:rPr>
                <w:rFonts w:ascii="標楷體" w:eastAsia="標楷體" w:cs="標楷體"/>
                <w:kern w:val="0"/>
                <w:sz w:val="20"/>
                <w:szCs w:val="20"/>
              </w:rPr>
            </w:pPr>
            <w:r w:rsidRPr="004E1B7B">
              <w:rPr>
                <w:rFonts w:ascii="標楷體" w:eastAsia="標楷體" w:hAnsi="標楷體" w:hint="eastAsia"/>
              </w:rPr>
              <w:t>第四十三條　本準則自發布日施行。</w:t>
            </w:r>
          </w:p>
        </w:tc>
        <w:tc>
          <w:tcPr>
            <w:tcW w:w="2537" w:type="pct"/>
            <w:tcBorders>
              <w:top w:val="single" w:sz="4" w:space="0" w:color="auto"/>
              <w:left w:val="single" w:sz="4" w:space="0" w:color="auto"/>
              <w:bottom w:val="single" w:sz="4" w:space="0" w:color="auto"/>
              <w:right w:val="single" w:sz="4" w:space="0" w:color="auto"/>
            </w:tcBorders>
            <w:hideMark/>
          </w:tcPr>
          <w:p w:rsidR="004E1B7B" w:rsidRPr="004E1B7B" w:rsidRDefault="004E1B7B" w:rsidP="00EC671F">
            <w:pPr>
              <w:rPr>
                <w:rFonts w:ascii="標楷體" w:eastAsia="標楷體" w:hAnsi="標楷體"/>
                <w:snapToGrid w:val="0"/>
                <w:kern w:val="0"/>
              </w:rPr>
            </w:pPr>
            <w:r w:rsidRPr="004E1B7B">
              <w:rPr>
                <w:rFonts w:ascii="標楷體" w:eastAsia="標楷體" w:hAnsi="標楷體" w:hint="eastAsia"/>
                <w:snapToGrid w:val="0"/>
                <w:kern w:val="0"/>
              </w:rPr>
              <w:t>明定本</w:t>
            </w:r>
            <w:r w:rsidRPr="004E1B7B">
              <w:rPr>
                <w:rFonts w:ascii="標楷體" w:eastAsia="標楷體" w:hAnsi="標楷體" w:hint="eastAsia"/>
              </w:rPr>
              <w:t>準則</w:t>
            </w:r>
            <w:r w:rsidRPr="004E1B7B">
              <w:rPr>
                <w:rFonts w:ascii="標楷體" w:eastAsia="標楷體" w:hAnsi="標楷體" w:hint="eastAsia"/>
                <w:snapToGrid w:val="0"/>
                <w:kern w:val="0"/>
              </w:rPr>
              <w:t>施行日期。</w:t>
            </w:r>
          </w:p>
        </w:tc>
      </w:tr>
    </w:tbl>
    <w:p w:rsidR="004E1B7B" w:rsidRPr="004E1B7B" w:rsidRDefault="004E1B7B" w:rsidP="004E1B7B"/>
    <w:p w:rsidR="004E1B7B" w:rsidRPr="004E1B7B" w:rsidRDefault="004E1B7B">
      <w:pPr>
        <w:widowControl/>
        <w:rPr>
          <w:rFonts w:ascii="標楷體" w:eastAsia="標楷體" w:hAnsi="標楷體"/>
          <w:sz w:val="28"/>
          <w:szCs w:val="28"/>
        </w:rPr>
      </w:pPr>
      <w:r w:rsidRPr="004E1B7B">
        <w:rPr>
          <w:rFonts w:ascii="標楷體" w:eastAsia="標楷體" w:hAnsi="標楷體"/>
          <w:sz w:val="28"/>
          <w:szCs w:val="28"/>
        </w:rPr>
        <w:br w:type="page"/>
      </w:r>
    </w:p>
    <w:p w:rsidR="004E1B7B" w:rsidRPr="004E1B7B" w:rsidRDefault="004E1B7B" w:rsidP="004E1B7B">
      <w:pPr>
        <w:spacing w:line="460" w:lineRule="exact"/>
        <w:rPr>
          <w:rFonts w:eastAsia="標楷體"/>
          <w:sz w:val="40"/>
          <w:szCs w:val="40"/>
        </w:rPr>
      </w:pPr>
      <w:r w:rsidRPr="004E1B7B">
        <w:rPr>
          <w:rFonts w:ascii="標楷體" w:eastAsia="標楷體" w:hAnsi="標楷體" w:hint="eastAsia"/>
          <w:sz w:val="40"/>
          <w:szCs w:val="40"/>
        </w:rPr>
        <w:lastRenderedPageBreak/>
        <w:t>臺中市社會福利財團法人會計處理及財務報告編製準則</w:t>
      </w:r>
      <w:r w:rsidRPr="004E1B7B">
        <w:rPr>
          <w:rFonts w:ascii="標楷體" w:eastAsia="標楷體" w:hAnsi="標楷體" w:hint="eastAsia"/>
          <w:bCs/>
          <w:sz w:val="40"/>
          <w:szCs w:val="40"/>
        </w:rPr>
        <w:t>草案</w:t>
      </w:r>
    </w:p>
    <w:p w:rsidR="004E1B7B" w:rsidRPr="004E1B7B" w:rsidRDefault="004E1B7B" w:rsidP="004E1B7B">
      <w:pPr>
        <w:snapToGrid w:val="0"/>
        <w:spacing w:beforeLines="25" w:before="90" w:afterLines="25" w:after="90" w:line="460" w:lineRule="exact"/>
        <w:ind w:left="848" w:hangingChars="303" w:hanging="848"/>
        <w:jc w:val="center"/>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第一章　總則</w:t>
      </w:r>
    </w:p>
    <w:p w:rsidR="004E1B7B" w:rsidRPr="004E1B7B" w:rsidRDefault="004E1B7B" w:rsidP="004E1B7B">
      <w:pPr>
        <w:snapToGrid w:val="0"/>
        <w:spacing w:line="460" w:lineRule="exact"/>
        <w:ind w:left="840" w:hangingChars="300" w:hanging="84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第一條　　本準則依財團法人法(以下簡稱本法)第二十四條第四項規定訂定之。</w:t>
      </w:r>
    </w:p>
    <w:p w:rsidR="004E1B7B" w:rsidRPr="004E1B7B" w:rsidRDefault="004E1B7B" w:rsidP="004E1B7B">
      <w:pPr>
        <w:snapToGrid w:val="0"/>
        <w:spacing w:line="460" w:lineRule="exact"/>
        <w:ind w:left="840" w:hangingChars="300" w:hanging="84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第二條　　</w:t>
      </w:r>
      <w:r w:rsidRPr="004E1B7B">
        <w:rPr>
          <w:rFonts w:ascii="標楷體" w:eastAsia="標楷體" w:hAnsi="標楷體" w:cs="新細明體"/>
          <w:kern w:val="0"/>
          <w:sz w:val="28"/>
          <w:szCs w:val="28"/>
        </w:rPr>
        <w:t>本</w:t>
      </w:r>
      <w:r w:rsidRPr="004E1B7B">
        <w:rPr>
          <w:rFonts w:ascii="標楷體" w:eastAsia="標楷體" w:hAnsi="標楷體" w:cs="新細明體" w:hint="eastAsia"/>
          <w:kern w:val="0"/>
          <w:sz w:val="28"/>
          <w:szCs w:val="28"/>
        </w:rPr>
        <w:t>準則</w:t>
      </w:r>
      <w:r w:rsidRPr="004E1B7B">
        <w:rPr>
          <w:rFonts w:ascii="標楷體" w:eastAsia="標楷體" w:hAnsi="標楷體" w:cs="新細明體"/>
          <w:kern w:val="0"/>
          <w:sz w:val="28"/>
          <w:szCs w:val="28"/>
        </w:rPr>
        <w:t>之主管機關為臺中市政府社會局。</w:t>
      </w:r>
    </w:p>
    <w:p w:rsidR="004E1B7B" w:rsidRPr="004E1B7B" w:rsidRDefault="004E1B7B" w:rsidP="004E1B7B">
      <w:pPr>
        <w:snapToGrid w:val="0"/>
        <w:spacing w:line="460" w:lineRule="exact"/>
        <w:ind w:left="840" w:hangingChars="300" w:hanging="84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第三條　　臺中市社會福利財團法人（以下簡稱財團法人），其會計處理及財務報告之編製，應依本準則辦理；本準則未規定者，依一般公認會計原則為之。</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第四條　　財團法人會計應以新臺幣為記帳本位幣，並以元為單位，外幣應折合本位幣。</w:t>
      </w:r>
    </w:p>
    <w:p w:rsidR="004E1B7B" w:rsidRPr="004E1B7B" w:rsidRDefault="004E1B7B" w:rsidP="004E1B7B">
      <w:pPr>
        <w:snapToGrid w:val="0"/>
        <w:spacing w:beforeLines="25" w:before="90" w:afterLines="25" w:after="90" w:line="460" w:lineRule="exact"/>
        <w:ind w:left="848" w:hangingChars="303" w:hanging="848"/>
        <w:jc w:val="center"/>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第二章　會計處理</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第五條　　財團法人應依其實際業務情形、會計事務性質、業務發展及管理需要，建立會計制度，報主管機關備查。</w:t>
      </w:r>
    </w:p>
    <w:p w:rsidR="004E1B7B" w:rsidRPr="004E1B7B" w:rsidRDefault="004E1B7B" w:rsidP="004E1B7B">
      <w:pPr>
        <w:snapToGrid w:val="0"/>
        <w:spacing w:line="460" w:lineRule="exact"/>
        <w:ind w:left="647" w:hangingChars="231" w:hanging="647"/>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前項會計制度之內容，應包括下列事項：</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一、總說明。</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二、帳簿組織系統圖。</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三、會計憑證。</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四、會計帳簿。</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五、會計項目。</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六、財務報表。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七、會計事務處理程序。</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八、財務及出納作業程序。</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第六條　　會計憑證分為下列二類：</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一、原始憑證：證明會計事項經過，而為造具記帳憑證所</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根據之憑證。</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二、記帳憑證：證明處理會計事項人員責任，而為記帳所</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根據之憑證。</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第七條　　原始憑證分為下列三類：</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ab/>
        <w:t xml:space="preserve">　　一、外來憑證：自財團法人本身以外之人所取得之憑證。</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二、對外憑證：給與財團法人本身以外之人之憑證。</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三、內部憑證：由財團法人本身自行製存之憑證。</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前項第一款外來憑證及第二款對外憑證應記載下列事項，由開具人簽名或蓋章：</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一、憑證名稱。</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二、日期。</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t>三、交易雙方名稱及地址或統一編號。</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四、交易內容及金額。</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第一項第三款內部憑證由財團法人根據事實及金額自行製存。</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第八條　　記帳憑證分為下列三類：</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一、收入傳票。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二、支出傳票。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三、轉帳傳票。</w:t>
      </w:r>
    </w:p>
    <w:p w:rsidR="004E1B7B" w:rsidRPr="004E1B7B" w:rsidRDefault="004E1B7B" w:rsidP="004E1B7B">
      <w:pPr>
        <w:snapToGrid w:val="0"/>
        <w:spacing w:line="460" w:lineRule="exact"/>
        <w:ind w:left="846" w:hangingChars="302" w:hanging="846"/>
        <w:jc w:val="both"/>
        <w:rPr>
          <w:rFonts w:ascii="標楷體" w:eastAsia="標楷體" w:hAnsi="標楷體"/>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前項各款傳票，得以顏色或其他方法區別之。</w:t>
      </w:r>
    </w:p>
    <w:p w:rsidR="004E1B7B" w:rsidRPr="004E1B7B" w:rsidRDefault="004E1B7B" w:rsidP="004E1B7B">
      <w:pPr>
        <w:snapToGrid w:val="0"/>
        <w:spacing w:line="460" w:lineRule="exact"/>
        <w:ind w:left="848" w:hangingChars="303" w:hanging="848"/>
        <w:jc w:val="both"/>
        <w:rPr>
          <w:rFonts w:ascii="標楷體" w:eastAsia="標楷體" w:hAnsi="標楷體"/>
        </w:rPr>
      </w:pPr>
      <w:r w:rsidRPr="004E1B7B">
        <w:rPr>
          <w:rFonts w:ascii="標楷體" w:eastAsia="標楷體" w:hAnsi="標楷體" w:cs="新細明體" w:hint="eastAsia"/>
          <w:kern w:val="0"/>
          <w:sz w:val="28"/>
          <w:szCs w:val="28"/>
        </w:rPr>
        <w:t>第九條　　記帳憑證之內容應包括財團法人名稱、傳票名稱、日期、傳票號碼、會計項目名稱、摘要及金額，並經財團法人董事長、執行長或與執行長職位相當之人、主辦或經辦會計人員簽名或蓋章。</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第十條　　財團法人非根據真實事項，不得造具任何會計憑證，並不得登入會計帳簿。但整理結算及結算後轉入帳目等事項無原始憑證者，不在此限。</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會計事務簡單或原始憑證已符合前條記帳憑證之要件者，得以原始憑證代替記帳憑證。</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第十一條　　記帳憑證應按日或按月彙訂成冊，加製封面，封面上應</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記明冊號、起訖日期、頁數，由財團法人董事長、執行長或</w:t>
      </w:r>
    </w:p>
    <w:p w:rsidR="004E1B7B" w:rsidRPr="004E1B7B" w:rsidRDefault="004E1B7B" w:rsidP="004E1B7B">
      <w:pPr>
        <w:snapToGrid w:val="0"/>
        <w:spacing w:line="460" w:lineRule="exact"/>
        <w:ind w:left="1128" w:hangingChars="403" w:hanging="112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與執行長職位相當之人及主辦或經辦會計人員簽名或蓋章，妥善保管，並編製目錄備查。保管期限屆滿，經財團法人董</w:t>
      </w:r>
    </w:p>
    <w:p w:rsidR="004E1B7B" w:rsidRPr="004E1B7B" w:rsidRDefault="004E1B7B" w:rsidP="004E1B7B">
      <w:pPr>
        <w:snapToGrid w:val="0"/>
        <w:spacing w:line="460" w:lineRule="exact"/>
        <w:ind w:left="848" w:hangingChars="303" w:hanging="848"/>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事長核准，得予以銷毀。</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第十二條　　原始憑證應附於記帳憑證之後，其另行裝訂保管較便者</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，仍應互註日期、編號、保管人、保管處所及編製目錄備查。</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第十三條　　會計帳簿分為下列二類：</w:t>
      </w:r>
    </w:p>
    <w:p w:rsidR="004E1B7B" w:rsidRPr="004E1B7B" w:rsidRDefault="004E1B7B" w:rsidP="0062085D">
      <w:pPr>
        <w:pStyle w:val="a9"/>
        <w:numPr>
          <w:ilvl w:val="0"/>
          <w:numId w:val="4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序時帳簿：以事項發生之時序為主而為紀錄之帳簿。</w:t>
      </w:r>
    </w:p>
    <w:p w:rsidR="004E1B7B" w:rsidRPr="004E1B7B" w:rsidRDefault="004E1B7B" w:rsidP="0062085D">
      <w:pPr>
        <w:pStyle w:val="a9"/>
        <w:numPr>
          <w:ilvl w:val="0"/>
          <w:numId w:val="4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分類帳簿：以事項歸屬之會計科目為主而為紀錄之帳簿。</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第十四條　　分類帳簿分為下列二類：</w:t>
      </w:r>
    </w:p>
    <w:p w:rsidR="004E1B7B" w:rsidRPr="004E1B7B" w:rsidRDefault="004E1B7B" w:rsidP="0062085D">
      <w:pPr>
        <w:pStyle w:val="a9"/>
        <w:numPr>
          <w:ilvl w:val="0"/>
          <w:numId w:val="42"/>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總分類帳簿：對於一切事項為總括之分類登記，以編造會計報告總表為主要目的而設之帳簿。</w:t>
      </w:r>
    </w:p>
    <w:p w:rsidR="004E1B7B" w:rsidRPr="004E1B7B" w:rsidRDefault="004E1B7B" w:rsidP="0062085D">
      <w:pPr>
        <w:pStyle w:val="a9"/>
        <w:numPr>
          <w:ilvl w:val="0"/>
          <w:numId w:val="42"/>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明細分類帳簿：對於特種事項為明細分類或分戶之登記，以編造會計報告明細表為主要目的而設之帳簿。</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總分類帳及明細分類帳應有統制隸屬之關係，各有關帳</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戶之金額應相互勾稽。</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第十五條　　財團法人應設置序時帳簿及總分類帳簿，並得按事實需</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要設置明細分類帳簿。</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第十六條　　財團法人應設置會計帳簿目錄，記明其設置使用之帳簿</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名稱、性質、啟用、經管、停用紀錄，並由財團法人董事長</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、執行長或與執行長職位相當之人及主辦會計人員簽名或蓋</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章。</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第十七條　　會計帳簿之帳頁，均應順序編號，不得撕毀。總分類帳</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簿及明細分類帳簿，並應在帳簿前加一目次。</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第十八條　　會計帳簿之記載務求詳實迅速，並應日清月結，不得積</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壓。</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第十九條　　會計帳簿在同一會計年度應連續記載，除已用盡外不得</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更換新帳簿。更換新帳簿時，應於舊帳簿空白頁上，逐頁註</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明空白作廢字樣。 </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第二十條　　會計帳簿應由財團法人董事長、執行長或與執行長職位</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 xml:space="preserve">        相當之人及主辦會計人員簽名或蓋章。</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第二十一條　　記帳錯誤不影響總數者，應由更正人劃線註銷更正，</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並於更正處簽名或蓋章證明；記帳錯誤影響總數者，應另</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開傳票更正。</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第二十二條　　各種記帳憑證，除應永久保存或有關未結會計事項者</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外，應於年度決算程序辦理終了後，至少保存五年。</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各種會計帳簿及會計報告，除有關未結會計事項者外</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，應於年度決算程序辦理終了後，至少保存十年。</w:t>
      </w:r>
    </w:p>
    <w:p w:rsidR="004E1B7B" w:rsidRPr="004E1B7B" w:rsidRDefault="004E1B7B" w:rsidP="004E1B7B">
      <w:pPr>
        <w:snapToGrid w:val="0"/>
        <w:spacing w:beforeLines="25" w:before="90" w:afterLines="25" w:after="90" w:line="460" w:lineRule="exact"/>
        <w:ind w:left="846" w:hangingChars="302" w:hanging="846"/>
        <w:jc w:val="center"/>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第三章　財務報告編制</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第二十三條　　財團法人於年度決算應檢附之內容為：</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一、資產負債表。</w:t>
      </w:r>
    </w:p>
    <w:p w:rsidR="004E1B7B" w:rsidRPr="004E1B7B" w:rsidRDefault="004E1B7B" w:rsidP="004E1B7B">
      <w:pPr>
        <w:snapToGrid w:val="0"/>
        <w:spacing w:line="460" w:lineRule="exact"/>
        <w:ind w:left="846" w:hangingChars="302" w:hanging="846"/>
        <w:jc w:val="both"/>
        <w:rPr>
          <w:rFonts w:ascii="標楷體" w:eastAsia="標楷體" w:hAnsi="標楷體"/>
        </w:rPr>
      </w:pPr>
      <w:r w:rsidRPr="004E1B7B">
        <w:rPr>
          <w:rFonts w:ascii="標楷體" w:eastAsia="標楷體" w:hAnsi="標楷體" w:cs="新細明體" w:hint="eastAsia"/>
          <w:kern w:val="0"/>
          <w:sz w:val="28"/>
          <w:szCs w:val="28"/>
        </w:rPr>
        <w:t xml:space="preserve">              二、決算書。</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法院登記之財產總額達三千萬元或年度收入達一千萬元以上之財團法人，應另檢附經有執照之會計師出具之查核或財務報告，其內容如下：</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一、財務報表。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二、其他有助於使用人決策之揭露事項及說明。</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前項第一款財務報表內容如下，其報表內容應包含附屬作業組織：</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一、資產負債表。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二、收支餘絀表。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三、</w:t>
      </w:r>
      <w:r w:rsidRPr="004E1B7B">
        <w:rPr>
          <w:rFonts w:ascii="標楷體" w:eastAsia="標楷體" w:hAnsi="標楷體" w:cs="新細明體"/>
          <w:kern w:val="0"/>
          <w:sz w:val="28"/>
          <w:szCs w:val="28"/>
        </w:rPr>
        <w:t>淨值變動表</w:t>
      </w:r>
      <w:r w:rsidRPr="004E1B7B">
        <w:rPr>
          <w:rFonts w:ascii="標楷體" w:eastAsia="標楷體" w:hAnsi="標楷體" w:cs="新細明體" w:hint="eastAsia"/>
          <w:kern w:val="0"/>
          <w:sz w:val="28"/>
          <w:szCs w:val="28"/>
        </w:rPr>
        <w:t>。</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四、</w:t>
      </w:r>
      <w:r w:rsidRPr="004E1B7B">
        <w:rPr>
          <w:rFonts w:ascii="標楷體" w:eastAsia="標楷體" w:hAnsi="標楷體" w:cs="新細明體"/>
          <w:kern w:val="0"/>
          <w:sz w:val="28"/>
          <w:szCs w:val="28"/>
        </w:rPr>
        <w:t>現金流量表</w:t>
      </w:r>
      <w:r w:rsidRPr="004E1B7B">
        <w:rPr>
          <w:rFonts w:ascii="標楷體" w:eastAsia="標楷體" w:hAnsi="標楷體" w:cs="新細明體" w:hint="eastAsia"/>
          <w:kern w:val="0"/>
          <w:sz w:val="28"/>
          <w:szCs w:val="28"/>
        </w:rPr>
        <w:t>。</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五、附註或附表。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第一項第一款及第二款之格式由主管機關另定之。</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政府捐助之財團法人，其設置如符合預算法第九十六條準用第四十一條第三項、第四項或決算法第三十一條準用第二十二條第二項規定者，其預（決）算之編送應</w:t>
      </w:r>
      <w:r w:rsidRPr="004E1B7B">
        <w:rPr>
          <w:rFonts w:ascii="標楷體" w:eastAsia="標楷體" w:hAnsi="標楷體" w:cs="新細明體" w:hint="eastAsia"/>
          <w:kern w:val="0"/>
          <w:sz w:val="28"/>
          <w:szCs w:val="28"/>
        </w:rPr>
        <w:lastRenderedPageBreak/>
        <w:t>依本府相關規定辦理。</w:t>
      </w:r>
      <w:r w:rsidRPr="004E1B7B">
        <w:rPr>
          <w:rFonts w:ascii="標楷體" w:eastAsia="標楷體" w:hAnsi="標楷體" w:cs="新細明體"/>
          <w:kern w:val="0"/>
          <w:sz w:val="28"/>
          <w:szCs w:val="28"/>
        </w:rPr>
        <w:t xml:space="preserve"> </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第二十四條　　前條第一項第一款及第三項第一款資產負債表，其內</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容如下：</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一、資產：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（一）流動資產。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（二）非流動資產。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二、負債：</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（一）流動負債。</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（二）非流動負債。</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三、淨值：</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(一)基金。</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(二)公積。</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(三)累積餘絀。</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(四)淨值其他項目。</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第二十五條　　前條第一款第一目流動資產，指符合下列各款之一之</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資產：</w:t>
      </w:r>
    </w:p>
    <w:p w:rsidR="004E1B7B" w:rsidRPr="004E1B7B" w:rsidRDefault="004E1B7B" w:rsidP="0062085D">
      <w:pPr>
        <w:pStyle w:val="a9"/>
        <w:numPr>
          <w:ilvl w:val="0"/>
          <w:numId w:val="43"/>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因業務所生之資產，預期於其正常營運週期中實現、意圖出售或消耗者。</w:t>
      </w:r>
    </w:p>
    <w:p w:rsidR="004E1B7B" w:rsidRPr="004E1B7B" w:rsidRDefault="004E1B7B" w:rsidP="0062085D">
      <w:pPr>
        <w:pStyle w:val="a9"/>
        <w:numPr>
          <w:ilvl w:val="0"/>
          <w:numId w:val="43"/>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主要為交易目的而持有者。</w:t>
      </w:r>
    </w:p>
    <w:p w:rsidR="004E1B7B" w:rsidRPr="004E1B7B" w:rsidRDefault="004E1B7B" w:rsidP="0062085D">
      <w:pPr>
        <w:pStyle w:val="a9"/>
        <w:numPr>
          <w:ilvl w:val="0"/>
          <w:numId w:val="43"/>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預期於資產負債表日後十二個月內實現者。</w:t>
      </w:r>
    </w:p>
    <w:p w:rsidR="004E1B7B" w:rsidRPr="004E1B7B" w:rsidRDefault="004E1B7B" w:rsidP="0062085D">
      <w:pPr>
        <w:pStyle w:val="a9"/>
        <w:numPr>
          <w:ilvl w:val="0"/>
          <w:numId w:val="43"/>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現金或約當現金。但資產負債表日後逾十二個月用以交換、清償負債或受有其他限制者，不包括在內。</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第二十六條　　前條流動資產之內容，包括下列會計項目：</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現金及約當現金：指庫存現金、活期存款及可隨時轉換成定額現金，且價值變動風險甚小之短期，並具高度流動性之定期存款或投資。</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短期性投資：包括下列會計項目，其有提供債務作質、質押或存出保證金等情事者，應予揭露；其項目性質及應註明事項如下：</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透過損益按公允價值衡量之金融資產－流動：指持有供交易或原始認列時，被指定為透過損益按公允價值衡量之金融資產。</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備供出售金融資產－流動：被指定為備供出售之非衍生金融資產，應以公允價值衡量。</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以成本衡量之金融資產－流動：指投資於無活絡市場公開報價之權益工具，其公允價值無法可靠衡量之金融資產。</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無活絡市場之債務工具投資－流動：指持有無活絡市場公開報價，且具固定或可決定收取金額之債務工具投資，應以攤銷後成本衡量。</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持有至到期日金融資產－流動：指持有至到期日之金融資產，在一年內到期之部分，應以攤銷後成本衡量。</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應收票據：指應收之各種票據；其項目性質及應註明事項如下：</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應收票據應以攤銷後成本衡量。但未附息之短期應收票據，其折現之影響不大者，得以票面金額衡量。</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業經貼現或轉讓者，應予揭露。</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營運所生應收票據，應與非營運所生應收票據分別列示。</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金額重大之應收關係人票據，應單獨列示。</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已提供擔保者，應予揭露。</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已確定無法收回者，應予轉銷。</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資產負債表日應評估應收票據無法</w:t>
      </w:r>
      <w:r w:rsidRPr="004E1B7B">
        <w:rPr>
          <w:rFonts w:ascii="標楷體" w:eastAsia="標楷體" w:hAnsi="標楷體" w:cs="新細明體" w:hint="eastAsia"/>
          <w:kern w:val="0"/>
          <w:sz w:val="28"/>
          <w:szCs w:val="28"/>
        </w:rPr>
        <w:lastRenderedPageBreak/>
        <w:t>收回之金額，提列適當之備抵呆帳，列為應收票據之減項。</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應收帳款：指因提供社會福利服務或相關營運所生債權；其項目性質及應註明事項如下：</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應收帳款應以攤銷後成本衡量。但未附息之短期應收帳款，若折現之影響不大者，得以交易金額衡量。</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金額重大之應收關係人帳款，應單獨列示。</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分期付款銷售之未實現利息收入，應列為應收帳款之減項。</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收回期間超過一年部分，各年度預期收回之金額，應予揭露。</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已提供擔保，應予揭露。</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業已確定無法收回者，應予轉銷。</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資產負債表日應評估應收帳款無法收回之金額，提列適當之備抵呆帳，列為應收帳款之減項。</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其他應收款：指不屬於應收票據、應收帳款之應收款項；其項目性質及應註明事項如下：</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資產負債表日應評估其他應收款無法收回之金額，提列適當之備抵呆帳，列為其他應收款之減項。</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其他應收款，為更明細之劃分者，備抵呆帳亦應比照分別列示。</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本期所得稅資產：指已支付所得稅金額超過本期及前期應付金額之部分。</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存貨：指持有供正常營運過程出售或將於服務提供過程中消耗之商品及材料；其項目性質及應註明事項如下：</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存貨成本，包括所有購買成本及為使存貨達到目前之地點及狀態所生之其他成本，得依其種類或性質，採個別認定法、先進先出法或平均法計算之。</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存貨應以成本與淨變現價值孰低衡量，當存貨成本高於淨變現價值時，應將成本沖減至淨變現價值，沖減金額應於發生當期認列為銷貨成本。</w:t>
      </w:r>
    </w:p>
    <w:p w:rsidR="004E1B7B" w:rsidRPr="004E1B7B" w:rsidRDefault="004E1B7B" w:rsidP="0062085D">
      <w:pPr>
        <w:pStyle w:val="a9"/>
        <w:numPr>
          <w:ilvl w:val="1"/>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存貨有提供作質、擔保或由債權人監視使用等情事，應予揭露。</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預付款項：指預為支付之各項成本或費用，包括預付費用及預付購料款等。</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待出售非流動資產：指於目前狀況下，可依一般條件及商業慣例立即出售，且極有可能於一年內完成出售之非流動資產或待出售處分群組內之資產。</w:t>
      </w:r>
    </w:p>
    <w:p w:rsidR="004E1B7B" w:rsidRPr="004E1B7B" w:rsidRDefault="004E1B7B" w:rsidP="0062085D">
      <w:pPr>
        <w:pStyle w:val="a9"/>
        <w:numPr>
          <w:ilvl w:val="0"/>
          <w:numId w:val="4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其他流動資產：指不能歸屬於前九款之流動資產。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不能歸屬於前項流動資產之各類資產，屬於非流動資</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第二十七條　　第二十四條第一款第二目非流動資產之內容，包括下</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列項目：</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一、長期性投資。</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二、投資性不動產。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三、不動產、廠房及設備。</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四、其他非流動資產。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第二十八條　　前條第一款長期性投資之內容，包括下列會計項目：</w:t>
      </w:r>
    </w:p>
    <w:p w:rsidR="004E1B7B" w:rsidRPr="004E1B7B" w:rsidRDefault="004E1B7B" w:rsidP="0062085D">
      <w:pPr>
        <w:pStyle w:val="a9"/>
        <w:numPr>
          <w:ilvl w:val="0"/>
          <w:numId w:val="45"/>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基金：指為特定用途所提撥之資產或受贈資產，因捐贈人限制而需專戶儲存之擴建基金、登記基金或社福基金等。基金提存所根據之議案、</w:t>
      </w:r>
      <w:r w:rsidRPr="004E1B7B">
        <w:rPr>
          <w:rFonts w:ascii="標楷體" w:eastAsia="標楷體" w:hAnsi="標楷體" w:cs="新細明體" w:hint="eastAsia"/>
          <w:kern w:val="0"/>
          <w:sz w:val="28"/>
          <w:szCs w:val="28"/>
        </w:rPr>
        <w:lastRenderedPageBreak/>
        <w:t>法令或捐贈人之限制等，應予註明。</w:t>
      </w:r>
    </w:p>
    <w:p w:rsidR="004E1B7B" w:rsidRPr="004E1B7B" w:rsidRDefault="004E1B7B" w:rsidP="0062085D">
      <w:pPr>
        <w:pStyle w:val="a9"/>
        <w:numPr>
          <w:ilvl w:val="0"/>
          <w:numId w:val="45"/>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透過損益按公允價值衡量之金融資產－非流動。</w:t>
      </w:r>
    </w:p>
    <w:p w:rsidR="004E1B7B" w:rsidRPr="004E1B7B" w:rsidRDefault="004E1B7B" w:rsidP="0062085D">
      <w:pPr>
        <w:pStyle w:val="a9"/>
        <w:numPr>
          <w:ilvl w:val="0"/>
          <w:numId w:val="45"/>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備供出售金融資產－非流動。</w:t>
      </w:r>
    </w:p>
    <w:p w:rsidR="004E1B7B" w:rsidRPr="004E1B7B" w:rsidRDefault="004E1B7B" w:rsidP="0062085D">
      <w:pPr>
        <w:pStyle w:val="a9"/>
        <w:numPr>
          <w:ilvl w:val="0"/>
          <w:numId w:val="45"/>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以成本衡量之金融資產－非流動。</w:t>
      </w:r>
    </w:p>
    <w:p w:rsidR="004E1B7B" w:rsidRPr="004E1B7B" w:rsidRDefault="004E1B7B" w:rsidP="0062085D">
      <w:pPr>
        <w:pStyle w:val="a9"/>
        <w:numPr>
          <w:ilvl w:val="0"/>
          <w:numId w:val="45"/>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無活絡市場之債務工具投資－非流動。</w:t>
      </w:r>
    </w:p>
    <w:p w:rsidR="004E1B7B" w:rsidRPr="004E1B7B" w:rsidRDefault="004E1B7B" w:rsidP="0062085D">
      <w:pPr>
        <w:pStyle w:val="a9"/>
        <w:numPr>
          <w:ilvl w:val="0"/>
          <w:numId w:val="45"/>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持有至到期日金融資產－非流動。</w:t>
      </w:r>
    </w:p>
    <w:p w:rsidR="004E1B7B" w:rsidRPr="004E1B7B" w:rsidRDefault="004E1B7B" w:rsidP="0062085D">
      <w:pPr>
        <w:pStyle w:val="a9"/>
        <w:numPr>
          <w:ilvl w:val="0"/>
          <w:numId w:val="45"/>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採權益法之投資：指持有具重大影響力或控制力之權益工具投資。</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長期性之投資，有提供作質，或受有約束、限制等情事者，應予揭露。</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第二十九條　　第二十七條第二款投資性不動產，指為賺取租金或資</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本增值或二者兼具，而由所有人或融資租賃之承租人所持</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有之不動產。</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前項投資性不動產，應按其成本原始認列。後續衡量，應以成本減除累計折舊及累計減損之帳面金額列示。</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第三十條　　第二十七條第三款不動產、廠房及設備，指用於商品或</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服務之生產，或提供、出租予他人，或供管理目的而持有，</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且預期使用期間超過一年之有形資產。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前項不動產、廠房及設備，應依取得或建造時之原始成</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本及後續成本認列。</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t xml:space="preserve">  </w:t>
      </w:r>
      <w:r w:rsidRPr="004E1B7B">
        <w:rPr>
          <w:rFonts w:ascii="標楷體" w:eastAsia="標楷體" w:hAnsi="標楷體" w:cs="新細明體" w:hint="eastAsia"/>
          <w:kern w:val="0"/>
          <w:sz w:val="28"/>
          <w:szCs w:val="28"/>
        </w:rPr>
        <w:tab/>
        <w:t xml:space="preserve">  前項原始成本，包括購買價格、使資產達到預期運作方</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式之必要狀態及地點，且直接可歸屬成本及未來拆卸、移除</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該資產或復原之任何可估計成本。後續成本，包括後續為增</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添、部分重置或維修所生之成本。</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財團法人應於資產負債表日，就第一項不動產、廠房及</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設備，依客觀證據評估其有無減損。有減損證據時，應依一</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般公認會計原則，認列減損損失金額。</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第一項不動產、廠房及設備，應以成本減除累計折舊及</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累計減損後之帳面金額列示；其所有權受限制及供作負債擔</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保之事實與金額，應予揭露。</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第三十一條　　第二十七條第四款其他非流動資產，指不能歸類於第</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二十八條至前條之非流動資產。</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第三十二條　　第二十四條第二款第一目流動負債，指符合下列各款</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之一之負債：</w:t>
      </w:r>
    </w:p>
    <w:p w:rsidR="004E1B7B" w:rsidRPr="004E1B7B" w:rsidRDefault="004E1B7B" w:rsidP="0062085D">
      <w:pPr>
        <w:pStyle w:val="a9"/>
        <w:numPr>
          <w:ilvl w:val="0"/>
          <w:numId w:val="46"/>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財團法人因業務所生債務，預期將於正常營運週期中清償者。</w:t>
      </w:r>
    </w:p>
    <w:p w:rsidR="004E1B7B" w:rsidRPr="004E1B7B" w:rsidRDefault="004E1B7B" w:rsidP="0062085D">
      <w:pPr>
        <w:pStyle w:val="a9"/>
        <w:numPr>
          <w:ilvl w:val="0"/>
          <w:numId w:val="46"/>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主要為交易目的所生負債。</w:t>
      </w:r>
    </w:p>
    <w:p w:rsidR="004E1B7B" w:rsidRPr="004E1B7B" w:rsidRDefault="004E1B7B" w:rsidP="0062085D">
      <w:pPr>
        <w:pStyle w:val="a9"/>
        <w:numPr>
          <w:ilvl w:val="0"/>
          <w:numId w:val="46"/>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須於資產負債表日後十二個月內清償之負債。</w:t>
      </w:r>
    </w:p>
    <w:p w:rsidR="004E1B7B" w:rsidRPr="004E1B7B" w:rsidRDefault="004E1B7B" w:rsidP="0062085D">
      <w:pPr>
        <w:pStyle w:val="a9"/>
        <w:numPr>
          <w:ilvl w:val="0"/>
          <w:numId w:val="46"/>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財團法人不得無條件延期至資產負債表日後逾十二個月清償之負債。</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第三十三條　　前條流動負債之會計項目分類與其帳項內容及應註明事項如下：</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短期借款：指向金融機構或他人借入或透支之款項；其項目性質及應註明事項如下：</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應依借款種類註明借款性質、保證情形及利率區間，如有提供擔保品者，應註明擔保品名稱及帳面金額。</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向金融機構、員工、關係人及其他個人或機構之借入款項，應分別揭露。</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應付票據：指應付之各種票據；其項目性質及應註明事項如下：</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因營運而發生與非因營運而發生者，應分別列示。</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金額重大之應付關係人票據，應單獨列示。</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已提供擔保品者，應揭露擔保品名稱及帳面金額。</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存出保證用之票據，於保證之責任終止時可收回註銷者，得不列為流動負債，但應揭露保證之性質及金額。</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應付帳款：指因賒購原物料、商品或服務所發</w:t>
      </w:r>
      <w:r w:rsidRPr="004E1B7B">
        <w:rPr>
          <w:rFonts w:ascii="標楷體" w:eastAsia="標楷體" w:hAnsi="標楷體" w:cs="新細明體" w:hint="eastAsia"/>
          <w:kern w:val="0"/>
          <w:sz w:val="28"/>
          <w:szCs w:val="28"/>
        </w:rPr>
        <w:lastRenderedPageBreak/>
        <w:t>生之債務；其項目性質及應註明事項如下：</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因營運而發生與非因營運而發生者，應分別列示。</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金額重大之應付關係人款項，應單獨列示。</w:t>
      </w:r>
    </w:p>
    <w:p w:rsidR="004E1B7B" w:rsidRPr="004E1B7B" w:rsidRDefault="004E1B7B" w:rsidP="0062085D">
      <w:pPr>
        <w:pStyle w:val="a9"/>
        <w:numPr>
          <w:ilvl w:val="1"/>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已提供擔保品者，應揭露擔保品名稱及帳面金額。</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其他應付款：不屬於應付票據及應付帳款之其他應付款項，如應付稅捐及應付薪資等。</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本期所得稅負債：指尚未支付之本期及前期所得稅。</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預收款項：指預為收納之各種款項；其應按主要類別分別列示，有特別約定事項者，應予揭露。</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負債準備－流動：指不確定時點或金額之流動負債。財團法人因過去事件而負有現時義務，且很有可能需要流出具經濟效益之資源以清償該義務，及該義務之金額能可靠估計時，應認列負債準備。</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存入保證金－流動：指收到存入供保證用之現金或其他資產。</w:t>
      </w:r>
    </w:p>
    <w:p w:rsidR="004E1B7B" w:rsidRPr="004E1B7B" w:rsidRDefault="004E1B7B" w:rsidP="0062085D">
      <w:pPr>
        <w:pStyle w:val="a9"/>
        <w:numPr>
          <w:ilvl w:val="0"/>
          <w:numId w:val="47"/>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其他流動負債：指不能歸屬於前八款之流動負債。</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r>
      <w:r w:rsidRPr="004E1B7B">
        <w:rPr>
          <w:rFonts w:ascii="標楷體" w:eastAsia="標楷體" w:hAnsi="標楷體" w:cs="新細明體" w:hint="eastAsia"/>
          <w:kern w:val="0"/>
          <w:sz w:val="28"/>
          <w:szCs w:val="28"/>
        </w:rPr>
        <w:tab/>
        <w:t xml:space="preserve"> 不能歸屬於前項流動負債之各類負債，應分類為非流動負債。</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第三十四條　　第二十四條第二款第二目非流動負債，應包括下列各</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項目：</w:t>
      </w:r>
    </w:p>
    <w:p w:rsidR="004E1B7B" w:rsidRPr="004E1B7B" w:rsidRDefault="004E1B7B" w:rsidP="0062085D">
      <w:pPr>
        <w:pStyle w:val="a9"/>
        <w:numPr>
          <w:ilvl w:val="0"/>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長期借款：指到期日在一年以上之借款，其項目性質及應說明事項如下：</w:t>
      </w:r>
    </w:p>
    <w:p w:rsidR="004E1B7B" w:rsidRPr="004E1B7B" w:rsidRDefault="004E1B7B" w:rsidP="0062085D">
      <w:pPr>
        <w:pStyle w:val="a9"/>
        <w:numPr>
          <w:ilvl w:val="1"/>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應以攤銷後成本衡量。</w:t>
      </w:r>
    </w:p>
    <w:p w:rsidR="004E1B7B" w:rsidRPr="004E1B7B" w:rsidRDefault="004E1B7B" w:rsidP="0062085D">
      <w:pPr>
        <w:pStyle w:val="a9"/>
        <w:numPr>
          <w:ilvl w:val="1"/>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應揭露其內容、到期日、利率、擔保</w:t>
      </w:r>
      <w:r w:rsidRPr="004E1B7B">
        <w:rPr>
          <w:rFonts w:ascii="標楷體" w:eastAsia="標楷體" w:hAnsi="標楷體" w:cs="新細明體" w:hint="eastAsia"/>
          <w:kern w:val="0"/>
          <w:sz w:val="28"/>
          <w:szCs w:val="28"/>
        </w:rPr>
        <w:lastRenderedPageBreak/>
        <w:t>品名稱、帳面金額及其他約定重要限制條款；其以外幣或按外幣兌換率折算償還者，應註明外幣名稱及金額。</w:t>
      </w:r>
    </w:p>
    <w:p w:rsidR="004E1B7B" w:rsidRPr="004E1B7B" w:rsidRDefault="004E1B7B" w:rsidP="0062085D">
      <w:pPr>
        <w:pStyle w:val="a9"/>
        <w:numPr>
          <w:ilvl w:val="1"/>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向員工及關係人借入之長期款項，應分別註明。</w:t>
      </w:r>
    </w:p>
    <w:p w:rsidR="004E1B7B" w:rsidRPr="004E1B7B" w:rsidRDefault="004E1B7B" w:rsidP="0062085D">
      <w:pPr>
        <w:pStyle w:val="a9"/>
        <w:numPr>
          <w:ilvl w:val="0"/>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長期應付票據及款項：指付款期間在一年以上之應付票據、應付帳款，應以攤銷後成本衡量。</w:t>
      </w:r>
    </w:p>
    <w:p w:rsidR="004E1B7B" w:rsidRPr="004E1B7B" w:rsidRDefault="004E1B7B" w:rsidP="0062085D">
      <w:pPr>
        <w:pStyle w:val="a9"/>
        <w:numPr>
          <w:ilvl w:val="0"/>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負債準備－非流動：指不確定時點或金額之非流動負債。</w:t>
      </w:r>
    </w:p>
    <w:p w:rsidR="004E1B7B" w:rsidRPr="004E1B7B" w:rsidRDefault="004E1B7B" w:rsidP="0062085D">
      <w:pPr>
        <w:pStyle w:val="a9"/>
        <w:numPr>
          <w:ilvl w:val="0"/>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存入保證金－非流動：指收到存入供保證用之現金或其他資產。</w:t>
      </w:r>
    </w:p>
    <w:p w:rsidR="004E1B7B" w:rsidRPr="004E1B7B" w:rsidRDefault="004E1B7B" w:rsidP="0062085D">
      <w:pPr>
        <w:pStyle w:val="a9"/>
        <w:numPr>
          <w:ilvl w:val="0"/>
          <w:numId w:val="48"/>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其他非流動負債：指不能歸屬於前四款之非流動負債。</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第三十五條　　第二十四條第三款第一目財團法人資產負債表之淨值，其會計項目分類如下:</w:t>
      </w:r>
    </w:p>
    <w:p w:rsidR="004E1B7B" w:rsidRPr="004E1B7B" w:rsidRDefault="004E1B7B" w:rsidP="0062085D">
      <w:pPr>
        <w:pStyle w:val="a9"/>
        <w:numPr>
          <w:ilvl w:val="0"/>
          <w:numId w:val="49"/>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基金：本法第二條第五項規定之範圍。</w:t>
      </w:r>
    </w:p>
    <w:p w:rsidR="004E1B7B" w:rsidRPr="004E1B7B" w:rsidRDefault="004E1B7B" w:rsidP="0062085D">
      <w:pPr>
        <w:pStyle w:val="a9"/>
        <w:numPr>
          <w:ilvl w:val="0"/>
          <w:numId w:val="49"/>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公積：依董事會通過自歷年賸餘提撥之公積。</w:t>
      </w:r>
    </w:p>
    <w:p w:rsidR="004E1B7B" w:rsidRPr="004E1B7B" w:rsidRDefault="004E1B7B" w:rsidP="0062085D">
      <w:pPr>
        <w:pStyle w:val="a9"/>
        <w:numPr>
          <w:ilvl w:val="0"/>
          <w:numId w:val="49"/>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累積餘絀：累積賸餘或累積短絀。</w:t>
      </w:r>
    </w:p>
    <w:p w:rsidR="004E1B7B" w:rsidRPr="004E1B7B" w:rsidRDefault="004E1B7B" w:rsidP="0062085D">
      <w:pPr>
        <w:pStyle w:val="a9"/>
        <w:numPr>
          <w:ilvl w:val="0"/>
          <w:numId w:val="49"/>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淨值其他項目：累積其他綜合餘絀及未認列為退休金成本之淨短絀等淨值之調整項目。</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第三十六條　　第二十三條第一項第二款決算書及第三項第二款收支餘絀表之內容如下：</w:t>
      </w:r>
    </w:p>
    <w:p w:rsidR="004E1B7B" w:rsidRPr="004E1B7B" w:rsidRDefault="004E1B7B" w:rsidP="0062085D">
      <w:pPr>
        <w:pStyle w:val="a9"/>
        <w:numPr>
          <w:ilvl w:val="0"/>
          <w:numId w:val="50"/>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收入：因提供各項服務等所獲得之收入，其認列應依一般公認會計原則規定辦理；其項目之分類如下。</w:t>
      </w:r>
    </w:p>
    <w:p w:rsidR="004E1B7B" w:rsidRPr="004E1B7B" w:rsidRDefault="004E1B7B" w:rsidP="004E1B7B">
      <w:pPr>
        <w:snapToGrid w:val="0"/>
        <w:spacing w:line="460" w:lineRule="exact"/>
        <w:ind w:left="2704"/>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(一)財產收入。</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(二)利息收入。</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(三)股利收入。</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(四)捐助收入。</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(五)業務收入。</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 xml:space="preserve">                   (六)政府補助收入。</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(七)委辦收入。</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(八)其他收入。</w:t>
      </w:r>
    </w:p>
    <w:p w:rsidR="004E1B7B" w:rsidRPr="004E1B7B" w:rsidRDefault="004E1B7B" w:rsidP="0062085D">
      <w:pPr>
        <w:pStyle w:val="a9"/>
        <w:numPr>
          <w:ilvl w:val="0"/>
          <w:numId w:val="50"/>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支出：指財團法人本期因提供各項服務等所應負擔之支出，其項目之分類如下：</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(一)社會福利支出(業務支出)。</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(二)社會公益活動支出。</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(三)行政管理費。</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(四)其他支出。</w:t>
      </w:r>
    </w:p>
    <w:p w:rsidR="004E1B7B" w:rsidRPr="004E1B7B" w:rsidRDefault="004E1B7B" w:rsidP="0062085D">
      <w:pPr>
        <w:pStyle w:val="a9"/>
        <w:numPr>
          <w:ilvl w:val="0"/>
          <w:numId w:val="50"/>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本期結餘：本期收入減除支出後之餘額。</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第三十七條　　第二十三條第三項第三款淨值變動表之內容，應包括</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基金、公積、累積餘絀及淨值其他項目之期初餘額、本期</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增減情形及期末餘額。</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第三十八條　　第二十三條第三項第四款現金流量表之內容如下：</w:t>
      </w:r>
    </w:p>
    <w:p w:rsidR="004E1B7B" w:rsidRPr="004E1B7B" w:rsidRDefault="004E1B7B" w:rsidP="0062085D">
      <w:pPr>
        <w:pStyle w:val="a9"/>
        <w:numPr>
          <w:ilvl w:val="0"/>
          <w:numId w:val="5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業務活動之現金流量，指投資、籌資活動以外，列入本期收支計算之交易及其他事項所產生之現金及約當現金（包括現金及自投資日起三個月內到期或清償之債權證券）之流入與流出。</w:t>
      </w:r>
    </w:p>
    <w:p w:rsidR="004E1B7B" w:rsidRPr="004E1B7B" w:rsidRDefault="004E1B7B" w:rsidP="0062085D">
      <w:pPr>
        <w:pStyle w:val="a9"/>
        <w:numPr>
          <w:ilvl w:val="0"/>
          <w:numId w:val="5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投資活動之現金流量，指取得及處分約當現金以外之流動金融資產、投資、不動產廠房及設備、投資性不動產、無形資產、什項資產，及減少約當現金以外之長期應收款、遞延資產，取得利息、訂定現金流量表內容及其相關會計項目之定義。股利屬投資之報酬，所產生之現金流入與流出。</w:t>
      </w:r>
    </w:p>
    <w:p w:rsidR="004E1B7B" w:rsidRPr="004E1B7B" w:rsidRDefault="004E1B7B" w:rsidP="0062085D">
      <w:pPr>
        <w:pStyle w:val="a9"/>
        <w:numPr>
          <w:ilvl w:val="0"/>
          <w:numId w:val="5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籌資活動之現金流量，指增加及減少債務、其他負債、基金、公積及支付利息，所產生之現金流入與流出。</w:t>
      </w:r>
    </w:p>
    <w:p w:rsidR="004E1B7B" w:rsidRPr="004E1B7B" w:rsidRDefault="004E1B7B" w:rsidP="0062085D">
      <w:pPr>
        <w:pStyle w:val="a9"/>
        <w:numPr>
          <w:ilvl w:val="0"/>
          <w:numId w:val="5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現金及約當現金之淨增（淨減），指本期業務、投資及籌資活動所產生之現金流入大於現金流出之數，為現金及約當現金之淨增；反之，則為現</w:t>
      </w:r>
      <w:r w:rsidRPr="004E1B7B">
        <w:rPr>
          <w:rFonts w:ascii="標楷體" w:eastAsia="標楷體" w:hAnsi="標楷體" w:cs="新細明體" w:hint="eastAsia"/>
          <w:kern w:val="0"/>
          <w:sz w:val="28"/>
          <w:szCs w:val="28"/>
        </w:rPr>
        <w:lastRenderedPageBreak/>
        <w:t>金及約當現金之淨減。</w:t>
      </w:r>
    </w:p>
    <w:p w:rsidR="004E1B7B" w:rsidRPr="004E1B7B" w:rsidRDefault="004E1B7B" w:rsidP="0062085D">
      <w:pPr>
        <w:pStyle w:val="a9"/>
        <w:numPr>
          <w:ilvl w:val="0"/>
          <w:numId w:val="5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期初現金及約當現金，指本期期初現金及自投資日起三個月內到期或清償之債權證券，合計之數。</w:t>
      </w:r>
    </w:p>
    <w:p w:rsidR="004E1B7B" w:rsidRPr="004E1B7B" w:rsidRDefault="004E1B7B" w:rsidP="0062085D">
      <w:pPr>
        <w:pStyle w:val="a9"/>
        <w:numPr>
          <w:ilvl w:val="0"/>
          <w:numId w:val="51"/>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期末現金及約當現金，指本期期末現金及自投資日起三個月內到期或清償之債權證券，合計之數。</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第三十九條　　第二十三條第三項第五款附註或附表，包括功能別費</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用表。</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前項功能別費用表，應按功能別及性質別，將各項支</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出歸類如下：</w:t>
      </w:r>
    </w:p>
    <w:p w:rsidR="004E1B7B" w:rsidRPr="004E1B7B" w:rsidRDefault="004E1B7B" w:rsidP="0062085D">
      <w:pPr>
        <w:pStyle w:val="a9"/>
        <w:numPr>
          <w:ilvl w:val="0"/>
          <w:numId w:val="52"/>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功能別：</w:t>
      </w:r>
    </w:p>
    <w:p w:rsidR="004E1B7B" w:rsidRPr="004E1B7B" w:rsidRDefault="004E1B7B" w:rsidP="004E1B7B">
      <w:pPr>
        <w:pStyle w:val="a9"/>
        <w:snapToGrid w:val="0"/>
        <w:spacing w:line="460" w:lineRule="exact"/>
        <w:ind w:leftChars="0" w:left="2704"/>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（一）業務支出。</w:t>
      </w:r>
      <w:r w:rsidRPr="004E1B7B">
        <w:rPr>
          <w:rFonts w:ascii="標楷體" w:eastAsia="標楷體" w:hAnsi="標楷體" w:cs="新細明體"/>
          <w:kern w:val="0"/>
          <w:sz w:val="28"/>
          <w:szCs w:val="28"/>
        </w:rPr>
        <w:br/>
      </w:r>
      <w:r w:rsidRPr="004E1B7B">
        <w:rPr>
          <w:rFonts w:ascii="標楷體" w:eastAsia="標楷體" w:hAnsi="標楷體" w:cs="新細明體" w:hint="eastAsia"/>
          <w:kern w:val="0"/>
          <w:sz w:val="28"/>
          <w:szCs w:val="28"/>
        </w:rPr>
        <w:t>（二）行政管理支出。</w:t>
      </w:r>
    </w:p>
    <w:p w:rsidR="004E1B7B" w:rsidRPr="004E1B7B" w:rsidRDefault="004E1B7B" w:rsidP="0062085D">
      <w:pPr>
        <w:pStyle w:val="a9"/>
        <w:numPr>
          <w:ilvl w:val="0"/>
          <w:numId w:val="52"/>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性質別：</w:t>
      </w:r>
    </w:p>
    <w:p w:rsidR="004E1B7B" w:rsidRPr="004E1B7B" w:rsidRDefault="004E1B7B" w:rsidP="004E1B7B">
      <w:pPr>
        <w:pStyle w:val="a9"/>
        <w:snapToGrid w:val="0"/>
        <w:spacing w:line="460" w:lineRule="exact"/>
        <w:ind w:leftChars="0" w:left="2704"/>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（一）用人費用。</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（二）服務費用。</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（三）材料及用品消耗。</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（四）租金費用。</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（五）折舊及攤銷。</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（六）捐贈費用。</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（七）訓練費用。</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（八）其他。</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第四十條　　第二十三條第三項第五款附註或附表，包括附屬作業組</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織之收支餘絀表；其會計項目及分類如下：</w:t>
      </w:r>
    </w:p>
    <w:p w:rsidR="004E1B7B" w:rsidRPr="004E1B7B" w:rsidRDefault="004E1B7B" w:rsidP="0062085D">
      <w:pPr>
        <w:pStyle w:val="a9"/>
        <w:numPr>
          <w:ilvl w:val="0"/>
          <w:numId w:val="53"/>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收入：指附屬作業組織本期內提供各項服務所獲得之收入；其分類如下：</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（一）營運收入。</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（二）銷售貨物或勞務收入。</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（三）政府補助收入。</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（四）委辦收入。</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（五）捐贈收入。</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（六）利息收入。</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（七）股利收入。</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（八）其他收入。</w:t>
      </w:r>
    </w:p>
    <w:p w:rsidR="004E1B7B" w:rsidRPr="004E1B7B" w:rsidRDefault="004E1B7B" w:rsidP="0062085D">
      <w:pPr>
        <w:pStyle w:val="a9"/>
        <w:numPr>
          <w:ilvl w:val="0"/>
          <w:numId w:val="53"/>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費用：指附屬作業組織本期內提供各項服務所應負擔之成本費用；其分類如下：</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（一）營運成本。</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（二）銷售貨物或勞務成本。</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（三）行政管理支出。</w:t>
      </w:r>
    </w:p>
    <w:p w:rsidR="004E1B7B" w:rsidRPr="004E1B7B" w:rsidRDefault="004E1B7B" w:rsidP="004E1B7B">
      <w:pPr>
        <w:pStyle w:val="a9"/>
        <w:snapToGrid w:val="0"/>
        <w:spacing w:line="460" w:lineRule="exact"/>
        <w:ind w:leftChars="0" w:left="242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（四）其他支出。</w:t>
      </w:r>
    </w:p>
    <w:p w:rsidR="004E1B7B" w:rsidRPr="004E1B7B" w:rsidRDefault="004E1B7B" w:rsidP="0062085D">
      <w:pPr>
        <w:pStyle w:val="a9"/>
        <w:numPr>
          <w:ilvl w:val="0"/>
          <w:numId w:val="53"/>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本期餘絀：指附屬作業組織本期之賸餘或短絀。</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第四十一條　　財務報表附註，指下列事項之揭露：</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組織沿革及業務範圍。</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聲明依本法、本準則、相關法令及一般公認會計原則編製。</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衡量基礎及其他重大會計政策。</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會計政策變更之理由及影響。</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受法令、契約或其他約束限制者，應註明其限制、時效及有關事項。</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資產與負債區分流動、非流動之分類標準。</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重大或有負債及未認列之合約承諾。</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淨值之變動及重大事項。</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投資相關資訊。</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與關係人之重大交易事項。</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重大災害損失。</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獎勵或捐贈之對象、目的、金額、必要性與當</w:t>
      </w:r>
    </w:p>
    <w:p w:rsidR="004E1B7B" w:rsidRPr="004E1B7B" w:rsidRDefault="004E1B7B" w:rsidP="004E1B7B">
      <w:pPr>
        <w:pStyle w:val="a9"/>
        <w:snapToGrid w:val="0"/>
        <w:spacing w:line="460" w:lineRule="exact"/>
        <w:ind w:leftChars="0" w:left="2704"/>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年獎勵或捐贈累計額度達主管機關依本法第二</w:t>
      </w:r>
    </w:p>
    <w:p w:rsidR="004E1B7B" w:rsidRPr="004E1B7B" w:rsidRDefault="004E1B7B" w:rsidP="004E1B7B">
      <w:pPr>
        <w:pStyle w:val="a9"/>
        <w:snapToGrid w:val="0"/>
        <w:spacing w:line="460" w:lineRule="exact"/>
        <w:ind w:leftChars="0" w:left="2704"/>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十一條第三項公告之一定數額，及報經許可之</w:t>
      </w:r>
    </w:p>
    <w:p w:rsidR="004E1B7B" w:rsidRPr="004E1B7B" w:rsidRDefault="004E1B7B" w:rsidP="004E1B7B">
      <w:pPr>
        <w:pStyle w:val="a9"/>
        <w:snapToGrid w:val="0"/>
        <w:spacing w:line="460" w:lineRule="exact"/>
        <w:ind w:leftChars="0" w:left="2704"/>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文號。</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重大之期後事項。</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lastRenderedPageBreak/>
        <w:t>重要訴訟案件之進行或終結。</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設立機構之財務資訊。</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重要組織之調整及管理制度之重大改革。</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政府法令變更所生之重大影響。</w:t>
      </w:r>
    </w:p>
    <w:p w:rsidR="004E1B7B" w:rsidRPr="004E1B7B" w:rsidRDefault="004E1B7B" w:rsidP="0062085D">
      <w:pPr>
        <w:pStyle w:val="a9"/>
        <w:numPr>
          <w:ilvl w:val="0"/>
          <w:numId w:val="54"/>
        </w:numPr>
        <w:snapToGrid w:val="0"/>
        <w:spacing w:line="460" w:lineRule="exact"/>
        <w:ind w:leftChars="0"/>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其他為避免誤解或有助於財務報表之允當表達</w:t>
      </w:r>
    </w:p>
    <w:p w:rsidR="004E1B7B" w:rsidRPr="004E1B7B" w:rsidRDefault="004E1B7B" w:rsidP="004E1B7B">
      <w:pPr>
        <w:pStyle w:val="a9"/>
        <w:snapToGrid w:val="0"/>
        <w:spacing w:line="460" w:lineRule="exact"/>
        <w:ind w:leftChars="0" w:left="2704"/>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所必要說明之事項。</w:t>
      </w:r>
    </w:p>
    <w:p w:rsidR="004E1B7B" w:rsidRPr="004E1B7B" w:rsidRDefault="004E1B7B" w:rsidP="004E1B7B">
      <w:pPr>
        <w:snapToGrid w:val="0"/>
        <w:spacing w:line="460" w:lineRule="exact"/>
        <w:ind w:left="1701"/>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財團法人無前項第七款、第十款或第十三款事項者，</w:t>
      </w:r>
    </w:p>
    <w:p w:rsidR="004E1B7B" w:rsidRPr="004E1B7B" w:rsidRDefault="004E1B7B" w:rsidP="004E1B7B">
      <w:pPr>
        <w:snapToGrid w:val="0"/>
        <w:spacing w:line="460" w:lineRule="exact"/>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 xml:space="preserve">          亦應記載「無」。</w:t>
      </w:r>
    </w:p>
    <w:p w:rsidR="004E1B7B" w:rsidRPr="004E1B7B" w:rsidRDefault="004E1B7B" w:rsidP="004E1B7B">
      <w:pPr>
        <w:snapToGrid w:val="0"/>
        <w:spacing w:line="460" w:lineRule="exact"/>
        <w:ind w:left="1406" w:hangingChars="502" w:hanging="140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第四十二條　　財務報告應由財團法人董事長執行長或與執行長職位相當之人及主辦或經辦會計人員簽名或蓋章；其有關各類主管或主辦人員之事務者，並應由該事務之主管或主辦人員會同簽名或蓋章。</w:t>
      </w:r>
    </w:p>
    <w:p w:rsidR="004E1B7B" w:rsidRPr="004E1B7B" w:rsidRDefault="004E1B7B" w:rsidP="004E1B7B">
      <w:pPr>
        <w:snapToGrid w:val="0"/>
        <w:spacing w:beforeLines="25" w:before="90" w:afterLines="25" w:after="90" w:line="460" w:lineRule="exact"/>
        <w:ind w:left="846" w:hangingChars="302" w:hanging="846"/>
        <w:jc w:val="center"/>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第四章　附則</w:t>
      </w:r>
    </w:p>
    <w:p w:rsidR="004E1B7B" w:rsidRPr="004E1B7B" w:rsidRDefault="004E1B7B" w:rsidP="004E1B7B">
      <w:pPr>
        <w:snapToGrid w:val="0"/>
        <w:spacing w:line="460" w:lineRule="exact"/>
        <w:ind w:left="846" w:hangingChars="302" w:hanging="846"/>
        <w:jc w:val="both"/>
        <w:rPr>
          <w:rFonts w:ascii="標楷體" w:eastAsia="標楷體" w:hAnsi="標楷體" w:cs="新細明體"/>
          <w:kern w:val="0"/>
          <w:sz w:val="28"/>
          <w:szCs w:val="28"/>
        </w:rPr>
      </w:pPr>
      <w:r w:rsidRPr="004E1B7B">
        <w:rPr>
          <w:rFonts w:ascii="標楷體" w:eastAsia="標楷體" w:hAnsi="標楷體" w:cs="新細明體" w:hint="eastAsia"/>
          <w:kern w:val="0"/>
          <w:sz w:val="28"/>
          <w:szCs w:val="28"/>
        </w:rPr>
        <w:t>第四十三條　　本準則自發布日施行。</w:t>
      </w:r>
    </w:p>
    <w:p w:rsidR="004E1B7B" w:rsidRPr="004E1B7B" w:rsidRDefault="004E1B7B" w:rsidP="004E1B7B"/>
    <w:p w:rsidR="0057319F" w:rsidRPr="004E1B7B" w:rsidRDefault="0057319F" w:rsidP="004E1B7B">
      <w:pPr>
        <w:widowControl/>
        <w:rPr>
          <w:rFonts w:ascii="標楷體" w:eastAsia="標楷體" w:hAnsi="標楷體"/>
          <w:sz w:val="28"/>
          <w:szCs w:val="28"/>
        </w:rPr>
      </w:pPr>
    </w:p>
    <w:sectPr w:rsidR="0057319F" w:rsidRPr="004E1B7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D46" w:rsidRDefault="00AC7D46" w:rsidP="002A0379">
      <w:r>
        <w:separator/>
      </w:r>
    </w:p>
  </w:endnote>
  <w:endnote w:type="continuationSeparator" w:id="0">
    <w:p w:rsidR="00AC7D46" w:rsidRDefault="00AC7D46" w:rsidP="002A0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新細明體, PMingLiU">
    <w:altName w:val="Times New Roman"/>
    <w:charset w:val="00"/>
    <w:family w:val="roman"/>
    <w:pitch w:val="variable"/>
  </w:font>
  <w:font w:name="DFKaiShu-SB-Estd-BF">
    <w:altName w:val="Microsoft YaHei"/>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D46" w:rsidRDefault="00AC7D46" w:rsidP="002A0379">
      <w:r>
        <w:separator/>
      </w:r>
    </w:p>
  </w:footnote>
  <w:footnote w:type="continuationSeparator" w:id="0">
    <w:p w:rsidR="00AC7D46" w:rsidRDefault="00AC7D46" w:rsidP="002A03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63766"/>
    <w:multiLevelType w:val="hybridMultilevel"/>
    <w:tmpl w:val="C34A7602"/>
    <w:lvl w:ilvl="0" w:tplc="7BD4E092">
      <w:start w:val="1"/>
      <w:numFmt w:val="taiwaneseCountingThousand"/>
      <w:lvlText w:val="%1、"/>
      <w:lvlJc w:val="left"/>
      <w:pPr>
        <w:ind w:left="2704" w:hanging="720"/>
      </w:pPr>
      <w:rPr>
        <w:rFonts w:hint="default"/>
      </w:rPr>
    </w:lvl>
    <w:lvl w:ilvl="1" w:tplc="3DDA28E0">
      <w:start w:val="1"/>
      <w:numFmt w:val="taiwaneseCountingThousand"/>
      <w:lvlText w:val="（%2）"/>
      <w:lvlJc w:val="left"/>
      <w:pPr>
        <w:ind w:left="3103" w:hanging="480"/>
      </w:pPr>
      <w:rPr>
        <w:rFonts w:hint="default"/>
      </w:r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 w15:restartNumberingAfterBreak="0">
    <w:nsid w:val="073A5BC1"/>
    <w:multiLevelType w:val="hybridMultilevel"/>
    <w:tmpl w:val="F708B26C"/>
    <w:lvl w:ilvl="0" w:tplc="A0D20BB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839132A"/>
    <w:multiLevelType w:val="hybridMultilevel"/>
    <w:tmpl w:val="E8AA4AAE"/>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F02F8"/>
    <w:multiLevelType w:val="hybridMultilevel"/>
    <w:tmpl w:val="41966E1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B63CE1"/>
    <w:multiLevelType w:val="hybridMultilevel"/>
    <w:tmpl w:val="98F0A01A"/>
    <w:lvl w:ilvl="0" w:tplc="E34EBDDE">
      <w:start w:val="1"/>
      <w:numFmt w:val="taiwaneseCountingThousand"/>
      <w:lvlText w:val="%1、"/>
      <w:lvlJc w:val="left"/>
      <w:pPr>
        <w:ind w:left="2705" w:hanging="72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5" w15:restartNumberingAfterBreak="0">
    <w:nsid w:val="0E4E7841"/>
    <w:multiLevelType w:val="hybridMultilevel"/>
    <w:tmpl w:val="5AE8EADA"/>
    <w:lvl w:ilvl="0" w:tplc="E006D732">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1CE3059"/>
    <w:multiLevelType w:val="hybridMultilevel"/>
    <w:tmpl w:val="FE8CF618"/>
    <w:lvl w:ilvl="0" w:tplc="C91A9150">
      <w:start w:val="1"/>
      <w:numFmt w:val="taiwaneseCountingThousand"/>
      <w:lvlText w:val="%1、"/>
      <w:lvlJc w:val="left"/>
      <w:pPr>
        <w:ind w:left="482" w:hanging="480"/>
      </w:pPr>
      <w:rPr>
        <w:rFonts w:ascii="標楷體" w:eastAsia="標楷體" w:hAnsi="標楷體"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12CF524C"/>
    <w:multiLevelType w:val="hybridMultilevel"/>
    <w:tmpl w:val="450C690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C570AA"/>
    <w:multiLevelType w:val="hybridMultilevel"/>
    <w:tmpl w:val="156E6F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9A2A33"/>
    <w:multiLevelType w:val="hybridMultilevel"/>
    <w:tmpl w:val="450C690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DF7A5D"/>
    <w:multiLevelType w:val="hybridMultilevel"/>
    <w:tmpl w:val="C34A7602"/>
    <w:lvl w:ilvl="0" w:tplc="7BD4E092">
      <w:start w:val="1"/>
      <w:numFmt w:val="taiwaneseCountingThousand"/>
      <w:lvlText w:val="%1、"/>
      <w:lvlJc w:val="left"/>
      <w:pPr>
        <w:ind w:left="2421" w:hanging="720"/>
      </w:pPr>
      <w:rPr>
        <w:rFonts w:hint="default"/>
      </w:rPr>
    </w:lvl>
    <w:lvl w:ilvl="1" w:tplc="3DDA28E0">
      <w:start w:val="1"/>
      <w:numFmt w:val="taiwaneseCountingThousand"/>
      <w:lvlText w:val="（%2）"/>
      <w:lvlJc w:val="left"/>
      <w:pPr>
        <w:ind w:left="2820" w:hanging="480"/>
      </w:pPr>
      <w:rPr>
        <w:rFonts w:hint="default"/>
      </w:rPr>
    </w:lvl>
    <w:lvl w:ilvl="2" w:tplc="0409001B" w:tentative="1">
      <w:start w:val="1"/>
      <w:numFmt w:val="lowerRoman"/>
      <w:lvlText w:val="%3."/>
      <w:lvlJc w:val="right"/>
      <w:pPr>
        <w:ind w:left="1086" w:hanging="480"/>
      </w:pPr>
    </w:lvl>
    <w:lvl w:ilvl="3" w:tplc="0409000F" w:tentative="1">
      <w:start w:val="1"/>
      <w:numFmt w:val="decimal"/>
      <w:lvlText w:val="%4."/>
      <w:lvlJc w:val="left"/>
      <w:pPr>
        <w:ind w:left="1566" w:hanging="480"/>
      </w:pPr>
    </w:lvl>
    <w:lvl w:ilvl="4" w:tplc="04090019" w:tentative="1">
      <w:start w:val="1"/>
      <w:numFmt w:val="ideographTraditional"/>
      <w:lvlText w:val="%5、"/>
      <w:lvlJc w:val="left"/>
      <w:pPr>
        <w:ind w:left="2046" w:hanging="480"/>
      </w:pPr>
    </w:lvl>
    <w:lvl w:ilvl="5" w:tplc="0409001B" w:tentative="1">
      <w:start w:val="1"/>
      <w:numFmt w:val="lowerRoman"/>
      <w:lvlText w:val="%6."/>
      <w:lvlJc w:val="right"/>
      <w:pPr>
        <w:ind w:left="2526" w:hanging="480"/>
      </w:pPr>
    </w:lvl>
    <w:lvl w:ilvl="6" w:tplc="0409000F" w:tentative="1">
      <w:start w:val="1"/>
      <w:numFmt w:val="decimal"/>
      <w:lvlText w:val="%7."/>
      <w:lvlJc w:val="left"/>
      <w:pPr>
        <w:ind w:left="3006" w:hanging="480"/>
      </w:pPr>
    </w:lvl>
    <w:lvl w:ilvl="7" w:tplc="04090019" w:tentative="1">
      <w:start w:val="1"/>
      <w:numFmt w:val="ideographTraditional"/>
      <w:lvlText w:val="%8、"/>
      <w:lvlJc w:val="left"/>
      <w:pPr>
        <w:ind w:left="3486" w:hanging="480"/>
      </w:pPr>
    </w:lvl>
    <w:lvl w:ilvl="8" w:tplc="0409001B" w:tentative="1">
      <w:start w:val="1"/>
      <w:numFmt w:val="lowerRoman"/>
      <w:lvlText w:val="%9."/>
      <w:lvlJc w:val="right"/>
      <w:pPr>
        <w:ind w:left="3966" w:hanging="480"/>
      </w:pPr>
    </w:lvl>
  </w:abstractNum>
  <w:abstractNum w:abstractNumId="11" w15:restartNumberingAfterBreak="0">
    <w:nsid w:val="25F13892"/>
    <w:multiLevelType w:val="hybridMultilevel"/>
    <w:tmpl w:val="EB6E81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9F4A66"/>
    <w:multiLevelType w:val="hybridMultilevel"/>
    <w:tmpl w:val="B3B4A9CA"/>
    <w:lvl w:ilvl="0" w:tplc="3C12CE5E">
      <w:start w:val="1"/>
      <w:numFmt w:val="taiwaneseCountingThousand"/>
      <w:lvlText w:val="%1、"/>
      <w:lvlJc w:val="left"/>
      <w:pPr>
        <w:ind w:left="2705" w:hanging="720"/>
      </w:pPr>
      <w:rPr>
        <w:rFonts w:hint="default"/>
      </w:rPr>
    </w:lvl>
    <w:lvl w:ilvl="1" w:tplc="3DDA28E0">
      <w:start w:val="1"/>
      <w:numFmt w:val="taiwaneseCountingThousand"/>
      <w:lvlText w:val="（%2）"/>
      <w:lvlJc w:val="left"/>
      <w:pPr>
        <w:ind w:left="3459" w:hanging="76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97930"/>
    <w:multiLevelType w:val="hybridMultilevel"/>
    <w:tmpl w:val="E2A803E8"/>
    <w:lvl w:ilvl="0" w:tplc="7BD4E092">
      <w:start w:val="1"/>
      <w:numFmt w:val="taiwaneseCountingThousand"/>
      <w:lvlText w:val="%1、"/>
      <w:lvlJc w:val="left"/>
      <w:pPr>
        <w:ind w:left="2704" w:hanging="720"/>
      </w:pPr>
      <w:rPr>
        <w:rFonts w:hint="default"/>
      </w:rPr>
    </w:lvl>
    <w:lvl w:ilvl="1" w:tplc="04090019" w:tentative="1">
      <w:start w:val="1"/>
      <w:numFmt w:val="ideographTraditional"/>
      <w:lvlText w:val="%2、"/>
      <w:lvlJc w:val="left"/>
      <w:pPr>
        <w:ind w:left="2944" w:hanging="480"/>
      </w:pPr>
    </w:lvl>
    <w:lvl w:ilvl="2" w:tplc="0409001B" w:tentative="1">
      <w:start w:val="1"/>
      <w:numFmt w:val="lowerRoman"/>
      <w:lvlText w:val="%3."/>
      <w:lvlJc w:val="right"/>
      <w:pPr>
        <w:ind w:left="3424" w:hanging="480"/>
      </w:pPr>
    </w:lvl>
    <w:lvl w:ilvl="3" w:tplc="0409000F" w:tentative="1">
      <w:start w:val="1"/>
      <w:numFmt w:val="decimal"/>
      <w:lvlText w:val="%4."/>
      <w:lvlJc w:val="left"/>
      <w:pPr>
        <w:ind w:left="3904" w:hanging="480"/>
      </w:pPr>
    </w:lvl>
    <w:lvl w:ilvl="4" w:tplc="04090019" w:tentative="1">
      <w:start w:val="1"/>
      <w:numFmt w:val="ideographTraditional"/>
      <w:lvlText w:val="%5、"/>
      <w:lvlJc w:val="left"/>
      <w:pPr>
        <w:ind w:left="4384" w:hanging="480"/>
      </w:pPr>
    </w:lvl>
    <w:lvl w:ilvl="5" w:tplc="0409001B" w:tentative="1">
      <w:start w:val="1"/>
      <w:numFmt w:val="lowerRoman"/>
      <w:lvlText w:val="%6."/>
      <w:lvlJc w:val="right"/>
      <w:pPr>
        <w:ind w:left="4864" w:hanging="480"/>
      </w:pPr>
    </w:lvl>
    <w:lvl w:ilvl="6" w:tplc="0409000F" w:tentative="1">
      <w:start w:val="1"/>
      <w:numFmt w:val="decimal"/>
      <w:lvlText w:val="%7."/>
      <w:lvlJc w:val="left"/>
      <w:pPr>
        <w:ind w:left="5344" w:hanging="480"/>
      </w:pPr>
    </w:lvl>
    <w:lvl w:ilvl="7" w:tplc="04090019" w:tentative="1">
      <w:start w:val="1"/>
      <w:numFmt w:val="ideographTraditional"/>
      <w:lvlText w:val="%8、"/>
      <w:lvlJc w:val="left"/>
      <w:pPr>
        <w:ind w:left="5824" w:hanging="480"/>
      </w:pPr>
    </w:lvl>
    <w:lvl w:ilvl="8" w:tplc="0409001B" w:tentative="1">
      <w:start w:val="1"/>
      <w:numFmt w:val="lowerRoman"/>
      <w:lvlText w:val="%9."/>
      <w:lvlJc w:val="right"/>
      <w:pPr>
        <w:ind w:left="6304" w:hanging="480"/>
      </w:pPr>
    </w:lvl>
  </w:abstractNum>
  <w:abstractNum w:abstractNumId="14" w15:restartNumberingAfterBreak="0">
    <w:nsid w:val="29380E13"/>
    <w:multiLevelType w:val="hybridMultilevel"/>
    <w:tmpl w:val="4314E702"/>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B77A1"/>
    <w:multiLevelType w:val="hybridMultilevel"/>
    <w:tmpl w:val="7AE63D62"/>
    <w:lvl w:ilvl="0" w:tplc="4A9CC75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B40F3C"/>
    <w:multiLevelType w:val="hybridMultilevel"/>
    <w:tmpl w:val="65C8084A"/>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ACC1A4F"/>
    <w:multiLevelType w:val="hybridMultilevel"/>
    <w:tmpl w:val="318C20A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C625E26"/>
    <w:multiLevelType w:val="hybridMultilevel"/>
    <w:tmpl w:val="27180F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D0B4068"/>
    <w:multiLevelType w:val="hybridMultilevel"/>
    <w:tmpl w:val="198A1C48"/>
    <w:lvl w:ilvl="0" w:tplc="E34EBDDE">
      <w:start w:val="1"/>
      <w:numFmt w:val="taiwaneseCountingThousand"/>
      <w:lvlText w:val="%1、"/>
      <w:lvlJc w:val="left"/>
      <w:pPr>
        <w:ind w:left="270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D567FD9"/>
    <w:multiLevelType w:val="hybridMultilevel"/>
    <w:tmpl w:val="A5428790"/>
    <w:lvl w:ilvl="0" w:tplc="E1921C72">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2FD009B6"/>
    <w:multiLevelType w:val="hybridMultilevel"/>
    <w:tmpl w:val="93FA7940"/>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18B4C58"/>
    <w:multiLevelType w:val="hybridMultilevel"/>
    <w:tmpl w:val="0F6E2C1A"/>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2326A8B"/>
    <w:multiLevelType w:val="hybridMultilevel"/>
    <w:tmpl w:val="3A867F50"/>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3CD0046"/>
    <w:multiLevelType w:val="hybridMultilevel"/>
    <w:tmpl w:val="C34A7602"/>
    <w:lvl w:ilvl="0" w:tplc="7BD4E092">
      <w:start w:val="1"/>
      <w:numFmt w:val="taiwaneseCountingThousand"/>
      <w:lvlText w:val="%1、"/>
      <w:lvlJc w:val="left"/>
      <w:pPr>
        <w:ind w:left="2704" w:hanging="720"/>
      </w:pPr>
      <w:rPr>
        <w:rFonts w:hint="default"/>
      </w:rPr>
    </w:lvl>
    <w:lvl w:ilvl="1" w:tplc="3DDA28E0">
      <w:start w:val="1"/>
      <w:numFmt w:val="taiwaneseCountingThousand"/>
      <w:lvlText w:val="（%2）"/>
      <w:lvlJc w:val="left"/>
      <w:pPr>
        <w:ind w:left="3103" w:hanging="480"/>
      </w:pPr>
      <w:rPr>
        <w:rFonts w:hint="default"/>
      </w:r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5" w15:restartNumberingAfterBreak="0">
    <w:nsid w:val="364D6F9D"/>
    <w:multiLevelType w:val="hybridMultilevel"/>
    <w:tmpl w:val="450C690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7F0DA0"/>
    <w:multiLevelType w:val="hybridMultilevel"/>
    <w:tmpl w:val="EE42222C"/>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9EC608A"/>
    <w:multiLevelType w:val="hybridMultilevel"/>
    <w:tmpl w:val="318C20A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FC640C1"/>
    <w:multiLevelType w:val="hybridMultilevel"/>
    <w:tmpl w:val="9A982964"/>
    <w:lvl w:ilvl="0" w:tplc="45064776">
      <w:start w:val="1"/>
      <w:numFmt w:val="taiwaneseCountingThousand"/>
      <w:lvlText w:val="%1、"/>
      <w:lvlJc w:val="left"/>
      <w:pPr>
        <w:ind w:left="2705" w:hanging="720"/>
      </w:pPr>
      <w:rPr>
        <w:rFonts w:hint="default"/>
      </w:rPr>
    </w:lvl>
    <w:lvl w:ilvl="1" w:tplc="3DDA28E0">
      <w:start w:val="1"/>
      <w:numFmt w:val="taiwaneseCountingThousand"/>
      <w:lvlText w:val="（%2）"/>
      <w:lvlJc w:val="left"/>
      <w:pPr>
        <w:ind w:left="2945" w:hanging="480"/>
      </w:pPr>
      <w:rPr>
        <w:rFonts w:hint="default"/>
      </w:r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9" w15:restartNumberingAfterBreak="0">
    <w:nsid w:val="42BE2DBD"/>
    <w:multiLevelType w:val="hybridMultilevel"/>
    <w:tmpl w:val="4552E2EE"/>
    <w:lvl w:ilvl="0" w:tplc="4770F668">
      <w:start w:val="1"/>
      <w:numFmt w:val="taiwaneseCountingThousand"/>
      <w:lvlText w:val="%1、"/>
      <w:lvlJc w:val="left"/>
      <w:pPr>
        <w:ind w:left="2421" w:hanging="720"/>
      </w:pPr>
      <w:rPr>
        <w:rFonts w:hint="default"/>
        <w:lang w:val="en-US"/>
      </w:rPr>
    </w:lvl>
    <w:lvl w:ilvl="1" w:tplc="3DDA28E0">
      <w:start w:val="1"/>
      <w:numFmt w:val="taiwaneseCountingThousand"/>
      <w:lvlText w:val="（%2）"/>
      <w:lvlJc w:val="left"/>
      <w:pPr>
        <w:ind w:left="3104" w:hanging="48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46CE084F"/>
    <w:multiLevelType w:val="hybridMultilevel"/>
    <w:tmpl w:val="450C690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7222FCA"/>
    <w:multiLevelType w:val="hybridMultilevel"/>
    <w:tmpl w:val="471AFDEA"/>
    <w:lvl w:ilvl="0" w:tplc="2B861B28">
      <w:start w:val="1"/>
      <w:numFmt w:val="taiwaneseCountingThousand"/>
      <w:lvlText w:val="%1、"/>
      <w:lvlJc w:val="left"/>
      <w:pPr>
        <w:ind w:left="2445" w:hanging="720"/>
      </w:pPr>
      <w:rPr>
        <w:rFonts w:hint="default"/>
      </w:rPr>
    </w:lvl>
    <w:lvl w:ilvl="1" w:tplc="04090019" w:tentative="1">
      <w:start w:val="1"/>
      <w:numFmt w:val="ideographTraditional"/>
      <w:lvlText w:val="%2、"/>
      <w:lvlJc w:val="left"/>
      <w:pPr>
        <w:ind w:left="2685" w:hanging="480"/>
      </w:pPr>
    </w:lvl>
    <w:lvl w:ilvl="2" w:tplc="0409001B" w:tentative="1">
      <w:start w:val="1"/>
      <w:numFmt w:val="lowerRoman"/>
      <w:lvlText w:val="%3."/>
      <w:lvlJc w:val="right"/>
      <w:pPr>
        <w:ind w:left="3165" w:hanging="480"/>
      </w:pPr>
    </w:lvl>
    <w:lvl w:ilvl="3" w:tplc="0409000F" w:tentative="1">
      <w:start w:val="1"/>
      <w:numFmt w:val="decimal"/>
      <w:lvlText w:val="%4."/>
      <w:lvlJc w:val="left"/>
      <w:pPr>
        <w:ind w:left="3645" w:hanging="480"/>
      </w:pPr>
    </w:lvl>
    <w:lvl w:ilvl="4" w:tplc="04090019" w:tentative="1">
      <w:start w:val="1"/>
      <w:numFmt w:val="ideographTraditional"/>
      <w:lvlText w:val="%5、"/>
      <w:lvlJc w:val="left"/>
      <w:pPr>
        <w:ind w:left="4125" w:hanging="480"/>
      </w:pPr>
    </w:lvl>
    <w:lvl w:ilvl="5" w:tplc="0409001B" w:tentative="1">
      <w:start w:val="1"/>
      <w:numFmt w:val="lowerRoman"/>
      <w:lvlText w:val="%6."/>
      <w:lvlJc w:val="right"/>
      <w:pPr>
        <w:ind w:left="4605" w:hanging="480"/>
      </w:pPr>
    </w:lvl>
    <w:lvl w:ilvl="6" w:tplc="0409000F" w:tentative="1">
      <w:start w:val="1"/>
      <w:numFmt w:val="decimal"/>
      <w:lvlText w:val="%7."/>
      <w:lvlJc w:val="left"/>
      <w:pPr>
        <w:ind w:left="5085" w:hanging="480"/>
      </w:pPr>
    </w:lvl>
    <w:lvl w:ilvl="7" w:tplc="04090019" w:tentative="1">
      <w:start w:val="1"/>
      <w:numFmt w:val="ideographTraditional"/>
      <w:lvlText w:val="%8、"/>
      <w:lvlJc w:val="left"/>
      <w:pPr>
        <w:ind w:left="5565" w:hanging="480"/>
      </w:pPr>
    </w:lvl>
    <w:lvl w:ilvl="8" w:tplc="0409001B" w:tentative="1">
      <w:start w:val="1"/>
      <w:numFmt w:val="lowerRoman"/>
      <w:lvlText w:val="%9."/>
      <w:lvlJc w:val="right"/>
      <w:pPr>
        <w:ind w:left="6045" w:hanging="480"/>
      </w:pPr>
    </w:lvl>
  </w:abstractNum>
  <w:abstractNum w:abstractNumId="32" w15:restartNumberingAfterBreak="0">
    <w:nsid w:val="48825E3F"/>
    <w:multiLevelType w:val="hybridMultilevel"/>
    <w:tmpl w:val="D2407DB4"/>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9B4521A"/>
    <w:multiLevelType w:val="hybridMultilevel"/>
    <w:tmpl w:val="164CA2DE"/>
    <w:lvl w:ilvl="0" w:tplc="3A4CDA1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15:restartNumberingAfterBreak="0">
    <w:nsid w:val="4B107704"/>
    <w:multiLevelType w:val="hybridMultilevel"/>
    <w:tmpl w:val="56462EEE"/>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C70213D"/>
    <w:multiLevelType w:val="hybridMultilevel"/>
    <w:tmpl w:val="D5B4D3E4"/>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CA46309"/>
    <w:multiLevelType w:val="hybridMultilevel"/>
    <w:tmpl w:val="450C690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EC06DA7"/>
    <w:multiLevelType w:val="hybridMultilevel"/>
    <w:tmpl w:val="81D668BC"/>
    <w:lvl w:ilvl="0" w:tplc="3C12CE5E">
      <w:start w:val="1"/>
      <w:numFmt w:val="taiwaneseCountingThousand"/>
      <w:lvlText w:val="%1、"/>
      <w:lvlJc w:val="left"/>
      <w:pPr>
        <w:ind w:left="2705" w:hanging="72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8" w15:restartNumberingAfterBreak="0">
    <w:nsid w:val="4EEA2EFE"/>
    <w:multiLevelType w:val="hybridMultilevel"/>
    <w:tmpl w:val="F0DA76E4"/>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FCB7273"/>
    <w:multiLevelType w:val="hybridMultilevel"/>
    <w:tmpl w:val="EF74F400"/>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1992406"/>
    <w:multiLevelType w:val="hybridMultilevel"/>
    <w:tmpl w:val="58EA9722"/>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1FD1F3F"/>
    <w:multiLevelType w:val="hybridMultilevel"/>
    <w:tmpl w:val="FA0C3A28"/>
    <w:lvl w:ilvl="0" w:tplc="4A9CC75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4806ECB"/>
    <w:multiLevelType w:val="hybridMultilevel"/>
    <w:tmpl w:val="C34A7602"/>
    <w:lvl w:ilvl="0" w:tplc="7BD4E092">
      <w:start w:val="1"/>
      <w:numFmt w:val="taiwaneseCountingThousand"/>
      <w:lvlText w:val="%1、"/>
      <w:lvlJc w:val="left"/>
      <w:pPr>
        <w:ind w:left="2704" w:hanging="720"/>
      </w:pPr>
      <w:rPr>
        <w:rFonts w:hint="default"/>
      </w:rPr>
    </w:lvl>
    <w:lvl w:ilvl="1" w:tplc="3DDA28E0">
      <w:start w:val="1"/>
      <w:numFmt w:val="taiwaneseCountingThousand"/>
      <w:lvlText w:val="（%2）"/>
      <w:lvlJc w:val="left"/>
      <w:pPr>
        <w:ind w:left="3103" w:hanging="480"/>
      </w:pPr>
      <w:rPr>
        <w:rFonts w:hint="default"/>
      </w:r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43" w15:restartNumberingAfterBreak="0">
    <w:nsid w:val="57A637DA"/>
    <w:multiLevelType w:val="hybridMultilevel"/>
    <w:tmpl w:val="B8CC11DA"/>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D9F7866"/>
    <w:multiLevelType w:val="hybridMultilevel"/>
    <w:tmpl w:val="03786318"/>
    <w:lvl w:ilvl="0" w:tplc="71F06168">
      <w:start w:val="1"/>
      <w:numFmt w:val="taiwaneseCountingThousand"/>
      <w:lvlText w:val="%1、"/>
      <w:lvlJc w:val="left"/>
      <w:pPr>
        <w:ind w:left="2704" w:hanging="720"/>
      </w:pPr>
      <w:rPr>
        <w:rFonts w:hint="default"/>
      </w:rPr>
    </w:lvl>
    <w:lvl w:ilvl="1" w:tplc="3DDA28E0">
      <w:start w:val="1"/>
      <w:numFmt w:val="taiwaneseCountingThousand"/>
      <w:lvlText w:val="（%2）"/>
      <w:lvlJc w:val="left"/>
      <w:pPr>
        <w:ind w:left="3173" w:hanging="480"/>
      </w:pPr>
      <w:rPr>
        <w:rFonts w:hint="default"/>
      </w:r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45" w15:restartNumberingAfterBreak="0">
    <w:nsid w:val="69436EBB"/>
    <w:multiLevelType w:val="hybridMultilevel"/>
    <w:tmpl w:val="0BBA3236"/>
    <w:lvl w:ilvl="0" w:tplc="B2923E3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6" w15:restartNumberingAfterBreak="0">
    <w:nsid w:val="6E877365"/>
    <w:multiLevelType w:val="hybridMultilevel"/>
    <w:tmpl w:val="7FD0EB46"/>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125747D"/>
    <w:multiLevelType w:val="hybridMultilevel"/>
    <w:tmpl w:val="59C42DFC"/>
    <w:lvl w:ilvl="0" w:tplc="F8B604B8">
      <w:start w:val="1"/>
      <w:numFmt w:val="taiwaneseCountingThousand"/>
      <w:lvlText w:val="%1、"/>
      <w:lvlJc w:val="left"/>
      <w:pPr>
        <w:ind w:left="2421" w:hanging="72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48" w15:restartNumberingAfterBreak="0">
    <w:nsid w:val="71F055F9"/>
    <w:multiLevelType w:val="hybridMultilevel"/>
    <w:tmpl w:val="FDBCD780"/>
    <w:lvl w:ilvl="0" w:tplc="4A9CC75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2E223C1"/>
    <w:multiLevelType w:val="hybridMultilevel"/>
    <w:tmpl w:val="450C6908"/>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4664A32"/>
    <w:multiLevelType w:val="hybridMultilevel"/>
    <w:tmpl w:val="47CE218A"/>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65975D8"/>
    <w:multiLevelType w:val="hybridMultilevel"/>
    <w:tmpl w:val="3BEE814C"/>
    <w:lvl w:ilvl="0" w:tplc="55B6C07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2" w15:restartNumberingAfterBreak="0">
    <w:nsid w:val="7D840CCF"/>
    <w:multiLevelType w:val="hybridMultilevel"/>
    <w:tmpl w:val="34C4BC08"/>
    <w:lvl w:ilvl="0" w:tplc="C91A9150">
      <w:start w:val="1"/>
      <w:numFmt w:val="taiwaneseCountingThousand"/>
      <w:lvlText w:val="%1、"/>
      <w:lvlJc w:val="left"/>
      <w:pPr>
        <w:ind w:left="521" w:hanging="480"/>
      </w:pPr>
      <w:rPr>
        <w:rFonts w:ascii="標楷體" w:eastAsia="標楷體" w:hAnsi="標楷體"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53" w15:restartNumberingAfterBreak="0">
    <w:nsid w:val="7F79189E"/>
    <w:multiLevelType w:val="hybridMultilevel"/>
    <w:tmpl w:val="2092CC5A"/>
    <w:lvl w:ilvl="0" w:tplc="C91A915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46"/>
  </w:num>
  <w:num w:numId="3">
    <w:abstractNumId w:val="6"/>
  </w:num>
  <w:num w:numId="4">
    <w:abstractNumId w:val="17"/>
  </w:num>
  <w:num w:numId="5">
    <w:abstractNumId w:val="52"/>
  </w:num>
  <w:num w:numId="6">
    <w:abstractNumId w:val="48"/>
  </w:num>
  <w:num w:numId="7">
    <w:abstractNumId w:val="15"/>
  </w:num>
  <w:num w:numId="8">
    <w:abstractNumId w:val="41"/>
  </w:num>
  <w:num w:numId="9">
    <w:abstractNumId w:val="3"/>
  </w:num>
  <w:num w:numId="10">
    <w:abstractNumId w:val="8"/>
  </w:num>
  <w:num w:numId="11">
    <w:abstractNumId w:val="18"/>
  </w:num>
  <w:num w:numId="12">
    <w:abstractNumId w:val="11"/>
  </w:num>
  <w:num w:numId="13">
    <w:abstractNumId w:val="2"/>
  </w:num>
  <w:num w:numId="14">
    <w:abstractNumId w:val="27"/>
  </w:num>
  <w:num w:numId="15">
    <w:abstractNumId w:val="32"/>
  </w:num>
  <w:num w:numId="16">
    <w:abstractNumId w:val="21"/>
  </w:num>
  <w:num w:numId="17">
    <w:abstractNumId w:val="16"/>
  </w:num>
  <w:num w:numId="18">
    <w:abstractNumId w:val="39"/>
  </w:num>
  <w:num w:numId="19">
    <w:abstractNumId w:val="22"/>
  </w:num>
  <w:num w:numId="20">
    <w:abstractNumId w:val="38"/>
  </w:num>
  <w:num w:numId="21">
    <w:abstractNumId w:val="43"/>
  </w:num>
  <w:num w:numId="22">
    <w:abstractNumId w:val="50"/>
  </w:num>
  <w:num w:numId="23">
    <w:abstractNumId w:val="23"/>
  </w:num>
  <w:num w:numId="24">
    <w:abstractNumId w:val="35"/>
  </w:num>
  <w:num w:numId="25">
    <w:abstractNumId w:val="53"/>
  </w:num>
  <w:num w:numId="26">
    <w:abstractNumId w:val="40"/>
  </w:num>
  <w:num w:numId="27">
    <w:abstractNumId w:val="9"/>
  </w:num>
  <w:num w:numId="28">
    <w:abstractNumId w:val="14"/>
  </w:num>
  <w:num w:numId="29">
    <w:abstractNumId w:val="34"/>
  </w:num>
  <w:num w:numId="30">
    <w:abstractNumId w:val="36"/>
  </w:num>
  <w:num w:numId="31">
    <w:abstractNumId w:val="30"/>
  </w:num>
  <w:num w:numId="32">
    <w:abstractNumId w:val="25"/>
  </w:num>
  <w:num w:numId="33">
    <w:abstractNumId w:val="7"/>
  </w:num>
  <w:num w:numId="34">
    <w:abstractNumId w:val="49"/>
  </w:num>
  <w:num w:numId="35">
    <w:abstractNumId w:val="33"/>
  </w:num>
  <w:num w:numId="36">
    <w:abstractNumId w:val="45"/>
  </w:num>
  <w:num w:numId="37">
    <w:abstractNumId w:val="20"/>
  </w:num>
  <w:num w:numId="38">
    <w:abstractNumId w:val="51"/>
  </w:num>
  <w:num w:numId="39">
    <w:abstractNumId w:val="5"/>
  </w:num>
  <w:num w:numId="40">
    <w:abstractNumId w:val="1"/>
  </w:num>
  <w:num w:numId="41">
    <w:abstractNumId w:val="31"/>
  </w:num>
  <w:num w:numId="42">
    <w:abstractNumId w:val="47"/>
  </w:num>
  <w:num w:numId="43">
    <w:abstractNumId w:val="37"/>
  </w:num>
  <w:num w:numId="44">
    <w:abstractNumId w:val="12"/>
  </w:num>
  <w:num w:numId="45">
    <w:abstractNumId w:val="4"/>
  </w:num>
  <w:num w:numId="46">
    <w:abstractNumId w:val="19"/>
  </w:num>
  <w:num w:numId="47">
    <w:abstractNumId w:val="28"/>
  </w:num>
  <w:num w:numId="48">
    <w:abstractNumId w:val="44"/>
  </w:num>
  <w:num w:numId="49">
    <w:abstractNumId w:val="13"/>
  </w:num>
  <w:num w:numId="50">
    <w:abstractNumId w:val="42"/>
  </w:num>
  <w:num w:numId="51">
    <w:abstractNumId w:val="10"/>
  </w:num>
  <w:num w:numId="52">
    <w:abstractNumId w:val="24"/>
  </w:num>
  <w:num w:numId="53">
    <w:abstractNumId w:val="29"/>
  </w:num>
  <w:num w:numId="54">
    <w:abstractNumId w:val="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78C"/>
    <w:rsid w:val="00154464"/>
    <w:rsid w:val="00200561"/>
    <w:rsid w:val="00206E78"/>
    <w:rsid w:val="002A0379"/>
    <w:rsid w:val="002C2946"/>
    <w:rsid w:val="0033281C"/>
    <w:rsid w:val="003B006E"/>
    <w:rsid w:val="0042395D"/>
    <w:rsid w:val="00437B51"/>
    <w:rsid w:val="004728B9"/>
    <w:rsid w:val="004B1E0F"/>
    <w:rsid w:val="004E1B7B"/>
    <w:rsid w:val="004E73DE"/>
    <w:rsid w:val="0057319F"/>
    <w:rsid w:val="0059676E"/>
    <w:rsid w:val="0062085D"/>
    <w:rsid w:val="0066209A"/>
    <w:rsid w:val="0067464C"/>
    <w:rsid w:val="006822A9"/>
    <w:rsid w:val="006C352B"/>
    <w:rsid w:val="0074001A"/>
    <w:rsid w:val="0074099E"/>
    <w:rsid w:val="00763D79"/>
    <w:rsid w:val="00766B8B"/>
    <w:rsid w:val="007E1C0F"/>
    <w:rsid w:val="00813545"/>
    <w:rsid w:val="008473AC"/>
    <w:rsid w:val="00960E40"/>
    <w:rsid w:val="0099077F"/>
    <w:rsid w:val="00A300F0"/>
    <w:rsid w:val="00AC7D46"/>
    <w:rsid w:val="00C83A9C"/>
    <w:rsid w:val="00D655B0"/>
    <w:rsid w:val="00DD28AE"/>
    <w:rsid w:val="00E343DF"/>
    <w:rsid w:val="00E82873"/>
    <w:rsid w:val="00F1610C"/>
    <w:rsid w:val="00F42747"/>
    <w:rsid w:val="00F95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65D044-92B2-4B39-864A-96A2774A9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578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F957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rsid w:val="00F9578C"/>
    <w:rPr>
      <w:rFonts w:ascii="Arial Unicode MS" w:eastAsia="Arial Unicode MS" w:hAnsi="Arial Unicode MS" w:cs="Arial Unicode MS"/>
      <w:kern w:val="0"/>
      <w:sz w:val="20"/>
      <w:szCs w:val="20"/>
    </w:rPr>
  </w:style>
  <w:style w:type="paragraph" w:styleId="a3">
    <w:name w:val="Balloon Text"/>
    <w:basedOn w:val="a"/>
    <w:link w:val="a4"/>
    <w:uiPriority w:val="99"/>
    <w:semiHidden/>
    <w:unhideWhenUsed/>
    <w:rsid w:val="00206E7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06E78"/>
    <w:rPr>
      <w:rFonts w:asciiTheme="majorHAnsi" w:eastAsiaTheme="majorEastAsia" w:hAnsiTheme="majorHAnsi" w:cstheme="majorBidi"/>
      <w:sz w:val="18"/>
      <w:szCs w:val="18"/>
    </w:rPr>
  </w:style>
  <w:style w:type="paragraph" w:styleId="a5">
    <w:name w:val="header"/>
    <w:basedOn w:val="a"/>
    <w:link w:val="a6"/>
    <w:uiPriority w:val="99"/>
    <w:unhideWhenUsed/>
    <w:rsid w:val="002A0379"/>
    <w:pPr>
      <w:tabs>
        <w:tab w:val="center" w:pos="4153"/>
        <w:tab w:val="right" w:pos="8306"/>
      </w:tabs>
      <w:snapToGrid w:val="0"/>
    </w:pPr>
    <w:rPr>
      <w:sz w:val="20"/>
      <w:szCs w:val="20"/>
    </w:rPr>
  </w:style>
  <w:style w:type="character" w:customStyle="1" w:styleId="a6">
    <w:name w:val="頁首 字元"/>
    <w:basedOn w:val="a0"/>
    <w:link w:val="a5"/>
    <w:uiPriority w:val="99"/>
    <w:rsid w:val="002A0379"/>
    <w:rPr>
      <w:rFonts w:ascii="Times New Roman" w:eastAsia="新細明體" w:hAnsi="Times New Roman" w:cs="Times New Roman"/>
      <w:sz w:val="20"/>
      <w:szCs w:val="20"/>
    </w:rPr>
  </w:style>
  <w:style w:type="paragraph" w:styleId="a7">
    <w:name w:val="footer"/>
    <w:basedOn w:val="a"/>
    <w:link w:val="a8"/>
    <w:uiPriority w:val="99"/>
    <w:unhideWhenUsed/>
    <w:rsid w:val="002A0379"/>
    <w:pPr>
      <w:tabs>
        <w:tab w:val="center" w:pos="4153"/>
        <w:tab w:val="right" w:pos="8306"/>
      </w:tabs>
      <w:snapToGrid w:val="0"/>
    </w:pPr>
    <w:rPr>
      <w:sz w:val="20"/>
      <w:szCs w:val="20"/>
    </w:rPr>
  </w:style>
  <w:style w:type="character" w:customStyle="1" w:styleId="a8">
    <w:name w:val="頁尾 字元"/>
    <w:basedOn w:val="a0"/>
    <w:link w:val="a7"/>
    <w:uiPriority w:val="99"/>
    <w:rsid w:val="002A0379"/>
    <w:rPr>
      <w:rFonts w:ascii="Times New Roman" w:eastAsia="新細明體" w:hAnsi="Times New Roman" w:cs="Times New Roman"/>
      <w:sz w:val="20"/>
      <w:szCs w:val="20"/>
    </w:rPr>
  </w:style>
  <w:style w:type="paragraph" w:customStyle="1" w:styleId="Standard">
    <w:name w:val="Standard"/>
    <w:rsid w:val="004E1B7B"/>
    <w:pPr>
      <w:widowControl w:val="0"/>
      <w:suppressAutoHyphens/>
      <w:autoSpaceDN w:val="0"/>
      <w:textAlignment w:val="baseline"/>
    </w:pPr>
    <w:rPr>
      <w:rFonts w:ascii="Times New Roman" w:eastAsia="新細明體, PMingLiU" w:hAnsi="Times New Roman" w:cs="Times New Roman"/>
      <w:kern w:val="3"/>
      <w:szCs w:val="24"/>
    </w:rPr>
  </w:style>
  <w:style w:type="paragraph" w:styleId="a9">
    <w:name w:val="List Paragraph"/>
    <w:basedOn w:val="a"/>
    <w:uiPriority w:val="34"/>
    <w:qFormat/>
    <w:rsid w:val="004E1B7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3068</Words>
  <Characters>17489</Characters>
  <Application>Microsoft Office Word</Application>
  <DocSecurity>0</DocSecurity>
  <Lines>145</Lines>
  <Paragraphs>41</Paragraphs>
  <ScaleCrop>false</ScaleCrop>
  <Company/>
  <LinksUpToDate>false</LinksUpToDate>
  <CharactersWithSpaces>20516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許毓恩</dc:creator>
  <cp:lastModifiedBy>施右容</cp:lastModifiedBy>
  <cp:revision>2</cp:revision>
  <cp:lastPrinted>2019-10-18T06:36:00Z</cp:lastPrinted>
  <dcterms:created xsi:type="dcterms:W3CDTF">2019-11-05T05:18:00Z</dcterms:created>
  <dcterms:modified xsi:type="dcterms:W3CDTF">2019-11-05T05:18:00Z</dcterms:modified>
</cp:coreProperties>
</file>