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EE6" w:rsidRDefault="00BE3EE6" w:rsidP="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附表一：補貼金額核算方式說明</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845"/>
        <w:gridCol w:w="5677"/>
      </w:tblGrid>
      <w:tr w:rsidR="00BE3EE6" w:rsidTr="00BE3EE6">
        <w:tc>
          <w:tcPr>
            <w:tcW w:w="3005" w:type="dxa"/>
            <w:tcBorders>
              <w:top w:val="single" w:sz="4" w:space="0" w:color="000000"/>
              <w:left w:val="single" w:sz="4" w:space="0" w:color="000000"/>
              <w:bottom w:val="single" w:sz="4" w:space="0" w:color="000000"/>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項目</w:t>
            </w:r>
          </w:p>
        </w:tc>
        <w:tc>
          <w:tcPr>
            <w:tcW w:w="6010" w:type="dxa"/>
            <w:tcBorders>
              <w:top w:val="single" w:sz="4" w:space="0" w:color="000000"/>
              <w:left w:val="single" w:sz="4" w:space="0" w:color="000000"/>
              <w:bottom w:val="single" w:sz="4" w:space="0" w:color="000000"/>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說明</w:t>
            </w:r>
          </w:p>
        </w:tc>
      </w:tr>
      <w:tr w:rsidR="00BE3EE6" w:rsidTr="00BE3EE6">
        <w:trPr>
          <w:trHeight w:val="1874"/>
        </w:trPr>
        <w:tc>
          <w:tcPr>
            <w:tcW w:w="3005" w:type="dxa"/>
            <w:tcBorders>
              <w:top w:val="single" w:sz="4" w:space="0" w:color="000000"/>
              <w:left w:val="single" w:sz="4" w:space="0" w:color="000000"/>
              <w:bottom w:val="single" w:sz="4" w:space="0" w:color="auto"/>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每車公里合理營運成本</w:t>
            </w:r>
          </w:p>
        </w:tc>
        <w:tc>
          <w:tcPr>
            <w:tcW w:w="6010" w:type="dxa"/>
            <w:tcBorders>
              <w:top w:val="single" w:sz="4" w:space="0" w:color="000000"/>
              <w:left w:val="single" w:sz="4" w:space="0" w:color="000000"/>
              <w:bottom w:val="single" w:sz="4" w:space="0" w:color="auto"/>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各該路線之營運成本依中央主管機關規定之統一會計科目及路線別成本計算制度之成本項目分類與標準分攤至各路線別成本，再依區域特性、車輛型式，由本府審定之各路線別每車公里合理營運成本。</w:t>
            </w:r>
          </w:p>
        </w:tc>
      </w:tr>
      <w:tr w:rsidR="00BE3EE6" w:rsidTr="00BE3EE6">
        <w:trPr>
          <w:trHeight w:val="855"/>
        </w:trPr>
        <w:tc>
          <w:tcPr>
            <w:tcW w:w="3005" w:type="dxa"/>
            <w:tcBorders>
              <w:top w:val="single" w:sz="4" w:space="0" w:color="auto"/>
              <w:left w:val="single" w:sz="4" w:space="0" w:color="000000"/>
              <w:bottom w:val="single" w:sz="4" w:space="0" w:color="auto"/>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每車公里實際營收</w:t>
            </w:r>
          </w:p>
        </w:tc>
        <w:tc>
          <w:tcPr>
            <w:tcW w:w="6010" w:type="dxa"/>
            <w:tcBorders>
              <w:top w:val="single" w:sz="4" w:space="0" w:color="auto"/>
              <w:left w:val="single" w:sz="4" w:space="0" w:color="000000"/>
              <w:bottom w:val="single" w:sz="4" w:space="0" w:color="auto"/>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經會計師簽證之路線總營收除以實際行駛里程。實際行駛里程為班次數乘以單程里程。</w:t>
            </w:r>
          </w:p>
        </w:tc>
      </w:tr>
      <w:tr w:rsidR="00BE3EE6" w:rsidTr="00BE3EE6">
        <w:trPr>
          <w:trHeight w:val="2268"/>
        </w:trPr>
        <w:tc>
          <w:tcPr>
            <w:tcW w:w="3005" w:type="dxa"/>
            <w:tcBorders>
              <w:top w:val="single" w:sz="4" w:space="0" w:color="auto"/>
              <w:left w:val="single" w:sz="4" w:space="0" w:color="000000"/>
              <w:bottom w:val="single" w:sz="4" w:space="0" w:color="auto"/>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班次數</w:t>
            </w:r>
          </w:p>
        </w:tc>
        <w:tc>
          <w:tcPr>
            <w:tcW w:w="6010" w:type="dxa"/>
            <w:tcBorders>
              <w:top w:val="single" w:sz="4" w:space="0" w:color="auto"/>
              <w:left w:val="single" w:sz="4" w:space="0" w:color="000000"/>
              <w:bottom w:val="single" w:sz="4" w:space="0" w:color="auto"/>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1.依公車動態系統統計資料加計百分之十誤差。</w:t>
            </w:r>
          </w:p>
          <w:p w:rsidR="00BE3EE6" w:rsidRDefault="00BE3EE6">
            <w:pPr>
              <w:snapToGrid w:val="0"/>
              <w:spacing w:line="460" w:lineRule="exact"/>
              <w:rPr>
                <w:rFonts w:ascii="標楷體" w:eastAsia="標楷體" w:hAnsi="標楷體" w:hint="eastAsia"/>
                <w:bCs/>
                <w:color w:val="000000"/>
                <w:sz w:val="28"/>
                <w:szCs w:val="28"/>
              </w:rPr>
            </w:pPr>
            <w:r>
              <w:rPr>
                <w:rFonts w:ascii="標楷體" w:eastAsia="標楷體" w:hAnsi="標楷體" w:hint="eastAsia"/>
                <w:bCs/>
                <w:color w:val="000000"/>
                <w:sz w:val="28"/>
                <w:szCs w:val="28"/>
              </w:rPr>
              <w:t>2.公車動態系統無法正常運轉，由客運業者據實查報。</w:t>
            </w:r>
          </w:p>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3.因公車動態車機故障或班次表錯誤致系統記錄行駛班次數較少，客運業應以電子票證交易紀錄申請更正。但更正數應乘以百分之七十五。</w:t>
            </w:r>
          </w:p>
        </w:tc>
      </w:tr>
      <w:tr w:rsidR="00BE3EE6" w:rsidTr="00BE3EE6">
        <w:trPr>
          <w:trHeight w:val="502"/>
        </w:trPr>
        <w:tc>
          <w:tcPr>
            <w:tcW w:w="3005" w:type="dxa"/>
            <w:tcBorders>
              <w:top w:val="single" w:sz="4" w:space="0" w:color="auto"/>
              <w:left w:val="single" w:sz="4" w:space="0" w:color="000000"/>
              <w:bottom w:val="single" w:sz="4" w:space="0" w:color="auto"/>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路線里程</w:t>
            </w:r>
          </w:p>
        </w:tc>
        <w:tc>
          <w:tcPr>
            <w:tcW w:w="6010" w:type="dxa"/>
            <w:tcBorders>
              <w:top w:val="single" w:sz="4" w:space="0" w:color="auto"/>
              <w:left w:val="single" w:sz="4" w:space="0" w:color="000000"/>
              <w:bottom w:val="single" w:sz="4" w:space="0" w:color="auto"/>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不含行駛外縣市之里程。</w:t>
            </w:r>
          </w:p>
        </w:tc>
      </w:tr>
      <w:tr w:rsidR="00BE3EE6" w:rsidTr="00BE3EE6">
        <w:trPr>
          <w:trHeight w:val="937"/>
        </w:trPr>
        <w:tc>
          <w:tcPr>
            <w:tcW w:w="3005" w:type="dxa"/>
            <w:tcBorders>
              <w:top w:val="single" w:sz="4" w:space="0" w:color="auto"/>
              <w:left w:val="single" w:sz="4" w:space="0" w:color="000000"/>
              <w:bottom w:val="single" w:sz="4" w:space="0" w:color="auto"/>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路線成績因子</w:t>
            </w:r>
          </w:p>
        </w:tc>
        <w:tc>
          <w:tcPr>
            <w:tcW w:w="6010" w:type="dxa"/>
            <w:tcBorders>
              <w:top w:val="single" w:sz="4" w:space="0" w:color="auto"/>
              <w:left w:val="single" w:sz="4" w:space="0" w:color="000000"/>
              <w:bottom w:val="single" w:sz="4" w:space="0" w:color="auto"/>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本府前一年度辦理之服務品質評鑑計畫，評鑑報告所載之各別路線成績對照附表二之數值，無此項成績之路線，以等級A認定。</w:t>
            </w:r>
          </w:p>
        </w:tc>
      </w:tr>
      <w:tr w:rsidR="00BE3EE6" w:rsidTr="00BE3EE6">
        <w:trPr>
          <w:trHeight w:val="1331"/>
        </w:trPr>
        <w:tc>
          <w:tcPr>
            <w:tcW w:w="3005" w:type="dxa"/>
            <w:tcBorders>
              <w:top w:val="single" w:sz="4" w:space="0" w:color="auto"/>
              <w:left w:val="single" w:sz="4" w:space="0" w:color="000000"/>
              <w:bottom w:val="single" w:sz="4" w:space="0" w:color="000000"/>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公司總成績因子</w:t>
            </w:r>
          </w:p>
        </w:tc>
        <w:tc>
          <w:tcPr>
            <w:tcW w:w="6010" w:type="dxa"/>
            <w:tcBorders>
              <w:top w:val="single" w:sz="4" w:space="0" w:color="auto"/>
              <w:left w:val="single" w:sz="4" w:space="0" w:color="000000"/>
              <w:bottom w:val="single" w:sz="4" w:space="0" w:color="000000"/>
              <w:right w:val="single" w:sz="4" w:space="0" w:color="000000"/>
            </w:tcBorders>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本府前一年度辦理之服務品質評鑑計畫，評鑑報告所載之各別公司成績對照附表二之數值，無此項成績之公司，以等級A認定。</w:t>
            </w:r>
          </w:p>
        </w:tc>
      </w:tr>
    </w:tbl>
    <w:p w:rsidR="00BE3EE6" w:rsidRDefault="00BE3EE6" w:rsidP="00BE3EE6">
      <w:pPr>
        <w:snapToGrid w:val="0"/>
        <w:spacing w:line="460" w:lineRule="exact"/>
        <w:rPr>
          <w:rFonts w:ascii="標楷體" w:eastAsia="標楷體" w:hAnsi="標楷體" w:hint="eastAsia"/>
          <w:bCs/>
          <w:color w:val="000000"/>
          <w:sz w:val="28"/>
          <w:szCs w:val="28"/>
        </w:rPr>
      </w:pPr>
    </w:p>
    <w:p w:rsidR="00BE3EE6" w:rsidRDefault="00BE3EE6" w:rsidP="00BE3EE6">
      <w:pPr>
        <w:snapToGrid w:val="0"/>
        <w:spacing w:line="460" w:lineRule="exact"/>
        <w:rPr>
          <w:rFonts w:ascii="標楷體" w:eastAsia="標楷體" w:hAnsi="標楷體" w:hint="eastAsia"/>
          <w:bCs/>
          <w:color w:val="000000"/>
          <w:sz w:val="28"/>
          <w:szCs w:val="28"/>
        </w:rPr>
      </w:pPr>
      <w:r>
        <w:rPr>
          <w:rFonts w:ascii="標楷體" w:eastAsia="標楷體" w:hAnsi="標楷體" w:hint="eastAsia"/>
          <w:bCs/>
          <w:color w:val="000000"/>
          <w:sz w:val="28"/>
          <w:szCs w:val="28"/>
        </w:rPr>
        <w:t>附表二：虧損補貼款計算因子</w:t>
      </w:r>
    </w:p>
    <w:tbl>
      <w:tblPr>
        <w:tblW w:w="0" w:type="auto"/>
        <w:jc w:val="center"/>
        <w:tblCellMar>
          <w:left w:w="28" w:type="dxa"/>
          <w:right w:w="28" w:type="dxa"/>
        </w:tblCellMar>
        <w:tblLook w:val="04A0"/>
      </w:tblPr>
      <w:tblGrid>
        <w:gridCol w:w="4746"/>
        <w:gridCol w:w="1615"/>
        <w:gridCol w:w="1701"/>
      </w:tblGrid>
      <w:tr w:rsidR="00BE3EE6" w:rsidTr="00BE3EE6">
        <w:trPr>
          <w:trHeight w:val="567"/>
          <w:jc w:val="center"/>
        </w:trPr>
        <w:tc>
          <w:tcPr>
            <w:tcW w:w="0" w:type="auto"/>
            <w:tcBorders>
              <w:top w:val="single" w:sz="8" w:space="0" w:color="auto"/>
              <w:left w:val="single" w:sz="8" w:space="0" w:color="auto"/>
              <w:bottom w:val="single" w:sz="4" w:space="0" w:color="auto"/>
              <w:right w:val="single" w:sz="4" w:space="0" w:color="auto"/>
            </w:tcBorders>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等級</w:t>
            </w:r>
          </w:p>
        </w:tc>
        <w:tc>
          <w:tcPr>
            <w:tcW w:w="1615" w:type="dxa"/>
            <w:tcBorders>
              <w:top w:val="single" w:sz="8" w:space="0" w:color="auto"/>
              <w:left w:val="nil"/>
              <w:bottom w:val="single" w:sz="4" w:space="0" w:color="auto"/>
              <w:right w:val="single" w:sz="4" w:space="0" w:color="auto"/>
            </w:tcBorders>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路線成績因子</w:t>
            </w:r>
          </w:p>
        </w:tc>
        <w:tc>
          <w:tcPr>
            <w:tcW w:w="1701" w:type="dxa"/>
            <w:tcBorders>
              <w:top w:val="single" w:sz="8" w:space="0" w:color="auto"/>
              <w:left w:val="nil"/>
              <w:bottom w:val="single" w:sz="4" w:space="0" w:color="auto"/>
              <w:right w:val="single" w:sz="8" w:space="0" w:color="auto"/>
            </w:tcBorders>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公司總成績因子</w:t>
            </w:r>
          </w:p>
        </w:tc>
      </w:tr>
      <w:tr w:rsidR="00BE3EE6" w:rsidTr="00BE3EE6">
        <w:trPr>
          <w:trHeight w:val="567"/>
          <w:jc w:val="center"/>
        </w:trPr>
        <w:tc>
          <w:tcPr>
            <w:tcW w:w="0" w:type="auto"/>
            <w:tcBorders>
              <w:top w:val="nil"/>
              <w:left w:val="single" w:sz="8" w:space="0" w:color="auto"/>
              <w:bottom w:val="single" w:sz="4" w:space="0" w:color="auto"/>
              <w:right w:val="single" w:sz="4"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A  (≧80分)</w:t>
            </w:r>
          </w:p>
        </w:tc>
        <w:tc>
          <w:tcPr>
            <w:tcW w:w="1615" w:type="dxa"/>
            <w:tcBorders>
              <w:top w:val="nil"/>
              <w:left w:val="nil"/>
              <w:bottom w:val="single" w:sz="4" w:space="0" w:color="auto"/>
              <w:right w:val="single" w:sz="4"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1</w:t>
            </w:r>
          </w:p>
        </w:tc>
        <w:tc>
          <w:tcPr>
            <w:tcW w:w="1701" w:type="dxa"/>
            <w:tcBorders>
              <w:top w:val="nil"/>
              <w:left w:val="nil"/>
              <w:bottom w:val="single" w:sz="4" w:space="0" w:color="auto"/>
              <w:right w:val="single" w:sz="8"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1</w:t>
            </w:r>
          </w:p>
        </w:tc>
      </w:tr>
      <w:tr w:rsidR="00BE3EE6" w:rsidTr="00BE3EE6">
        <w:trPr>
          <w:trHeight w:val="227"/>
          <w:jc w:val="center"/>
        </w:trPr>
        <w:tc>
          <w:tcPr>
            <w:tcW w:w="0" w:type="auto"/>
            <w:tcBorders>
              <w:top w:val="nil"/>
              <w:left w:val="single" w:sz="8" w:space="0" w:color="auto"/>
              <w:bottom w:val="single" w:sz="4" w:space="0" w:color="auto"/>
              <w:right w:val="single" w:sz="4"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lastRenderedPageBreak/>
              <w:t xml:space="preserve">B  ( 70~80分；含70分、不含80分) </w:t>
            </w:r>
          </w:p>
        </w:tc>
        <w:tc>
          <w:tcPr>
            <w:tcW w:w="1615" w:type="dxa"/>
            <w:tcBorders>
              <w:top w:val="nil"/>
              <w:left w:val="nil"/>
              <w:bottom w:val="single" w:sz="4" w:space="0" w:color="auto"/>
              <w:right w:val="single" w:sz="4"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0.8</w:t>
            </w:r>
          </w:p>
        </w:tc>
        <w:tc>
          <w:tcPr>
            <w:tcW w:w="1701" w:type="dxa"/>
            <w:tcBorders>
              <w:top w:val="nil"/>
              <w:left w:val="nil"/>
              <w:bottom w:val="single" w:sz="4" w:space="0" w:color="auto"/>
              <w:right w:val="single" w:sz="8"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0.9</w:t>
            </w:r>
          </w:p>
        </w:tc>
      </w:tr>
      <w:tr w:rsidR="00BE3EE6" w:rsidTr="00BE3EE6">
        <w:trPr>
          <w:trHeight w:val="227"/>
          <w:jc w:val="center"/>
        </w:trPr>
        <w:tc>
          <w:tcPr>
            <w:tcW w:w="0" w:type="auto"/>
            <w:tcBorders>
              <w:top w:val="nil"/>
              <w:left w:val="single" w:sz="8" w:space="0" w:color="auto"/>
              <w:bottom w:val="single" w:sz="4" w:space="0" w:color="auto"/>
              <w:right w:val="single" w:sz="4"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C  ( 60~70分；含60分、不含70分)</w:t>
            </w:r>
          </w:p>
        </w:tc>
        <w:tc>
          <w:tcPr>
            <w:tcW w:w="1615" w:type="dxa"/>
            <w:tcBorders>
              <w:top w:val="nil"/>
              <w:left w:val="nil"/>
              <w:bottom w:val="single" w:sz="4" w:space="0" w:color="auto"/>
              <w:right w:val="single" w:sz="4"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0.7</w:t>
            </w:r>
          </w:p>
        </w:tc>
        <w:tc>
          <w:tcPr>
            <w:tcW w:w="1701" w:type="dxa"/>
            <w:tcBorders>
              <w:top w:val="nil"/>
              <w:left w:val="nil"/>
              <w:bottom w:val="single" w:sz="4" w:space="0" w:color="auto"/>
              <w:right w:val="single" w:sz="8"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0.8</w:t>
            </w:r>
          </w:p>
        </w:tc>
      </w:tr>
      <w:tr w:rsidR="00BE3EE6" w:rsidTr="00BE3EE6">
        <w:trPr>
          <w:trHeight w:val="227"/>
          <w:jc w:val="center"/>
        </w:trPr>
        <w:tc>
          <w:tcPr>
            <w:tcW w:w="0" w:type="auto"/>
            <w:tcBorders>
              <w:top w:val="nil"/>
              <w:left w:val="single" w:sz="8" w:space="0" w:color="auto"/>
              <w:bottom w:val="single" w:sz="8" w:space="0" w:color="auto"/>
              <w:right w:val="single" w:sz="4"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D  (＜60分)</w:t>
            </w:r>
          </w:p>
        </w:tc>
        <w:tc>
          <w:tcPr>
            <w:tcW w:w="1615" w:type="dxa"/>
            <w:tcBorders>
              <w:top w:val="nil"/>
              <w:left w:val="nil"/>
              <w:bottom w:val="single" w:sz="8" w:space="0" w:color="auto"/>
              <w:right w:val="single" w:sz="4"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0.4</w:t>
            </w:r>
          </w:p>
        </w:tc>
        <w:tc>
          <w:tcPr>
            <w:tcW w:w="1701" w:type="dxa"/>
            <w:tcBorders>
              <w:top w:val="nil"/>
              <w:left w:val="nil"/>
              <w:bottom w:val="single" w:sz="8" w:space="0" w:color="auto"/>
              <w:right w:val="single" w:sz="8" w:space="0" w:color="auto"/>
            </w:tcBorders>
            <w:noWrap/>
            <w:vAlign w:val="center"/>
            <w:hideMark/>
          </w:tcPr>
          <w:p w:rsidR="00BE3EE6" w:rsidRDefault="00BE3EE6">
            <w:pPr>
              <w:snapToGrid w:val="0"/>
              <w:spacing w:line="460" w:lineRule="exact"/>
              <w:rPr>
                <w:rFonts w:ascii="標楷體" w:eastAsia="標楷體" w:hAnsi="標楷體"/>
                <w:bCs/>
                <w:color w:val="000000"/>
                <w:sz w:val="28"/>
                <w:szCs w:val="28"/>
              </w:rPr>
            </w:pPr>
            <w:r>
              <w:rPr>
                <w:rFonts w:ascii="標楷體" w:eastAsia="標楷體" w:hAnsi="標楷體" w:hint="eastAsia"/>
                <w:bCs/>
                <w:color w:val="000000"/>
                <w:sz w:val="28"/>
                <w:szCs w:val="28"/>
              </w:rPr>
              <w:t>0.7</w:t>
            </w:r>
          </w:p>
        </w:tc>
      </w:tr>
    </w:tbl>
    <w:p w:rsidR="00BE3EE6" w:rsidRDefault="00BE3EE6" w:rsidP="00BE3EE6">
      <w:pPr>
        <w:snapToGrid w:val="0"/>
        <w:spacing w:line="460" w:lineRule="exact"/>
        <w:rPr>
          <w:rFonts w:ascii="標楷體" w:eastAsia="標楷體" w:hAnsi="標楷體" w:hint="eastAsia"/>
          <w:bCs/>
          <w:color w:val="000000"/>
          <w:sz w:val="28"/>
          <w:szCs w:val="28"/>
        </w:rPr>
      </w:pPr>
    </w:p>
    <w:p w:rsidR="006D5DFC" w:rsidRDefault="006D5DFC"/>
    <w:sectPr w:rsidR="006D5DFC">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5DFC" w:rsidRDefault="006D5DFC" w:rsidP="00BE3EE6">
      <w:r>
        <w:separator/>
      </w:r>
    </w:p>
  </w:endnote>
  <w:endnote w:type="continuationSeparator" w:id="1">
    <w:p w:rsidR="006D5DFC" w:rsidRDefault="006D5DFC" w:rsidP="00BE3E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5DFC" w:rsidRDefault="006D5DFC" w:rsidP="00BE3EE6">
      <w:r>
        <w:separator/>
      </w:r>
    </w:p>
  </w:footnote>
  <w:footnote w:type="continuationSeparator" w:id="1">
    <w:p w:rsidR="006D5DFC" w:rsidRDefault="006D5DFC" w:rsidP="00BE3EE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E3EE6"/>
    <w:rsid w:val="006D5DFC"/>
    <w:rsid w:val="00BE3EE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EE6"/>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E3EE6"/>
    <w:pPr>
      <w:tabs>
        <w:tab w:val="center" w:pos="4153"/>
        <w:tab w:val="right" w:pos="8306"/>
      </w:tabs>
      <w:snapToGrid w:val="0"/>
    </w:pPr>
    <w:rPr>
      <w:rFonts w:asciiTheme="minorHAnsi" w:eastAsiaTheme="minorEastAsia" w:hAnsiTheme="minorHAnsi" w:cstheme="minorBidi"/>
      <w:sz w:val="20"/>
    </w:rPr>
  </w:style>
  <w:style w:type="character" w:customStyle="1" w:styleId="a4">
    <w:name w:val="頁首 字元"/>
    <w:basedOn w:val="a0"/>
    <w:link w:val="a3"/>
    <w:uiPriority w:val="99"/>
    <w:semiHidden/>
    <w:rsid w:val="00BE3EE6"/>
    <w:rPr>
      <w:sz w:val="20"/>
      <w:szCs w:val="20"/>
    </w:rPr>
  </w:style>
  <w:style w:type="paragraph" w:styleId="a5">
    <w:name w:val="footer"/>
    <w:basedOn w:val="a"/>
    <w:link w:val="a6"/>
    <w:uiPriority w:val="99"/>
    <w:semiHidden/>
    <w:unhideWhenUsed/>
    <w:rsid w:val="00BE3EE6"/>
    <w:pPr>
      <w:tabs>
        <w:tab w:val="center" w:pos="4153"/>
        <w:tab w:val="right" w:pos="8306"/>
      </w:tabs>
      <w:snapToGrid w:val="0"/>
    </w:pPr>
    <w:rPr>
      <w:rFonts w:asciiTheme="minorHAnsi" w:eastAsiaTheme="minorEastAsia" w:hAnsiTheme="minorHAnsi" w:cstheme="minorBidi"/>
      <w:sz w:val="20"/>
    </w:rPr>
  </w:style>
  <w:style w:type="character" w:customStyle="1" w:styleId="a6">
    <w:name w:val="頁尾 字元"/>
    <w:basedOn w:val="a0"/>
    <w:link w:val="a5"/>
    <w:uiPriority w:val="99"/>
    <w:semiHidden/>
    <w:rsid w:val="00BE3EE6"/>
    <w:rPr>
      <w:sz w:val="20"/>
      <w:szCs w:val="20"/>
    </w:rPr>
  </w:style>
</w:styles>
</file>

<file path=word/webSettings.xml><?xml version="1.0" encoding="utf-8"?>
<w:webSettings xmlns:r="http://schemas.openxmlformats.org/officeDocument/2006/relationships" xmlns:w="http://schemas.openxmlformats.org/wordprocessingml/2006/main">
  <w:divs>
    <w:div w:id="169614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85</Words>
  <Characters>490</Characters>
  <Application>Microsoft Office Word</Application>
  <DocSecurity>0</DocSecurity>
  <Lines>4</Lines>
  <Paragraphs>1</Paragraphs>
  <ScaleCrop>false</ScaleCrop>
  <Company/>
  <LinksUpToDate>false</LinksUpToDate>
  <CharactersWithSpaces>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t0328</dc:creator>
  <cp:keywords/>
  <dc:description/>
  <cp:lastModifiedBy>t0328</cp:lastModifiedBy>
  <cp:revision>3</cp:revision>
  <dcterms:created xsi:type="dcterms:W3CDTF">2013-11-20T08:05:00Z</dcterms:created>
  <dcterms:modified xsi:type="dcterms:W3CDTF">2013-11-20T08:05:00Z</dcterms:modified>
</cp:coreProperties>
</file>