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C7C" w:rsidRDefault="005A7C7C" w:rsidP="005A7C7C">
      <w:pPr>
        <w:spacing w:line="460" w:lineRule="exact"/>
        <w:jc w:val="center"/>
        <w:rPr>
          <w:rFonts w:ascii="標楷體" w:eastAsia="標楷體" w:hAnsi="標楷體"/>
          <w:b/>
          <w:color w:val="000000" w:themeColor="text1"/>
          <w:sz w:val="28"/>
        </w:rPr>
      </w:pPr>
      <w:r>
        <w:rPr>
          <w:rFonts w:ascii="標楷體" w:eastAsia="標楷體" w:hAnsi="標楷體" w:hint="eastAsia"/>
          <w:color w:val="000000" w:themeColor="text1"/>
          <w:sz w:val="28"/>
        </w:rPr>
        <w:t>臺中市政府地政局處理違反不動產經紀業管理條例統一裁罰基準</w:t>
      </w:r>
    </w:p>
    <w:p w:rsidR="005A7C7C" w:rsidRDefault="005A7C7C" w:rsidP="005A7C7C">
      <w:pPr>
        <w:spacing w:line="460" w:lineRule="exact"/>
        <w:rPr>
          <w:rFonts w:ascii="標楷體" w:eastAsia="標楷體" w:hAnsi="標楷體" w:hint="eastAsia"/>
          <w:color w:val="000000" w:themeColor="text1"/>
          <w:sz w:val="28"/>
        </w:rPr>
      </w:pPr>
      <w:r>
        <w:rPr>
          <w:rFonts w:ascii="標楷體" w:eastAsia="標楷體" w:hAnsi="標楷體" w:hint="eastAsia"/>
          <w:color w:val="000000" w:themeColor="text1"/>
          <w:sz w:val="28"/>
        </w:rPr>
        <w:t>附表一</w:t>
      </w:r>
    </w:p>
    <w:tbl>
      <w:tblPr>
        <w:tblW w:w="10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508"/>
        <w:gridCol w:w="2640"/>
        <w:gridCol w:w="1700"/>
        <w:gridCol w:w="2410"/>
        <w:gridCol w:w="3260"/>
      </w:tblGrid>
      <w:tr w:rsidR="005A7C7C" w:rsidTr="005A7C7C">
        <w:trPr>
          <w:jc w:val="center"/>
        </w:trPr>
        <w:tc>
          <w:tcPr>
            <w:tcW w:w="508" w:type="dxa"/>
            <w:tcBorders>
              <w:top w:val="single" w:sz="4" w:space="0" w:color="auto"/>
              <w:left w:val="single" w:sz="4" w:space="0" w:color="auto"/>
              <w:bottom w:val="single" w:sz="4" w:space="0" w:color="auto"/>
              <w:right w:val="single" w:sz="4" w:space="0" w:color="auto"/>
            </w:tcBorders>
            <w:vAlign w:val="center"/>
            <w:hideMark/>
          </w:tcPr>
          <w:p w:rsidR="005A7C7C" w:rsidRDefault="005A7C7C">
            <w:pPr>
              <w:spacing w:line="460" w:lineRule="exact"/>
              <w:jc w:val="center"/>
              <w:rPr>
                <w:rFonts w:ascii="標楷體" w:eastAsia="標楷體" w:hAnsi="標楷體"/>
                <w:color w:val="000000" w:themeColor="text1"/>
                <w:sz w:val="28"/>
              </w:rPr>
            </w:pPr>
            <w:r>
              <w:rPr>
                <w:rFonts w:ascii="標楷體" w:eastAsia="標楷體" w:hAnsi="標楷體" w:hint="eastAsia"/>
                <w:color w:val="000000" w:themeColor="text1"/>
                <w:sz w:val="28"/>
              </w:rPr>
              <w:t>項次</w:t>
            </w:r>
          </w:p>
        </w:tc>
        <w:tc>
          <w:tcPr>
            <w:tcW w:w="2640" w:type="dxa"/>
            <w:tcBorders>
              <w:top w:val="single" w:sz="4" w:space="0" w:color="auto"/>
              <w:left w:val="single" w:sz="4" w:space="0" w:color="auto"/>
              <w:bottom w:val="single" w:sz="4" w:space="0" w:color="auto"/>
              <w:right w:val="single" w:sz="4" w:space="0" w:color="auto"/>
            </w:tcBorders>
            <w:vAlign w:val="center"/>
            <w:hideMark/>
          </w:tcPr>
          <w:p w:rsidR="005A7C7C" w:rsidRDefault="005A7C7C">
            <w:pPr>
              <w:spacing w:line="460" w:lineRule="exact"/>
              <w:jc w:val="center"/>
              <w:rPr>
                <w:rFonts w:ascii="標楷體" w:eastAsia="標楷體" w:hAnsi="標楷體"/>
                <w:color w:val="000000" w:themeColor="text1"/>
                <w:sz w:val="28"/>
              </w:rPr>
            </w:pPr>
            <w:r>
              <w:rPr>
                <w:rFonts w:ascii="標楷體" w:eastAsia="標楷體" w:hAnsi="標楷體" w:hint="eastAsia"/>
                <w:color w:val="000000" w:themeColor="text1"/>
                <w:sz w:val="28"/>
              </w:rPr>
              <w:t>違   規   事   項</w:t>
            </w:r>
          </w:p>
        </w:tc>
        <w:tc>
          <w:tcPr>
            <w:tcW w:w="170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rPr>
                <w:rFonts w:ascii="標楷體" w:eastAsia="標楷體" w:hAnsi="標楷體"/>
                <w:color w:val="000000" w:themeColor="text1"/>
                <w:sz w:val="28"/>
              </w:rPr>
            </w:pPr>
            <w:r>
              <w:rPr>
                <w:rFonts w:ascii="標楷體" w:eastAsia="標楷體" w:hAnsi="標楷體" w:hint="eastAsia"/>
                <w:color w:val="000000" w:themeColor="text1"/>
                <w:sz w:val="28"/>
              </w:rPr>
              <w:t>法條依據(不動產經紀業管理條例)</w:t>
            </w:r>
          </w:p>
        </w:tc>
        <w:tc>
          <w:tcPr>
            <w:tcW w:w="241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rPr>
                <w:rFonts w:ascii="標楷體" w:eastAsia="標楷體" w:hAnsi="標楷體"/>
                <w:color w:val="000000" w:themeColor="text1"/>
                <w:sz w:val="28"/>
              </w:rPr>
            </w:pPr>
            <w:r>
              <w:rPr>
                <w:rFonts w:ascii="標楷體" w:eastAsia="標楷體" w:hAnsi="標楷體" w:hint="eastAsia"/>
                <w:color w:val="000000" w:themeColor="text1"/>
                <w:sz w:val="28"/>
              </w:rPr>
              <w:t>法 定 罰 鍰 額 度(新臺幣：元) 或其他處罰</w:t>
            </w:r>
          </w:p>
        </w:tc>
        <w:tc>
          <w:tcPr>
            <w:tcW w:w="326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rPr>
                <w:rFonts w:ascii="標楷體" w:eastAsia="標楷體" w:hAnsi="標楷體"/>
                <w:color w:val="000000" w:themeColor="text1"/>
                <w:sz w:val="28"/>
              </w:rPr>
            </w:pPr>
            <w:r>
              <w:rPr>
                <w:rFonts w:ascii="標楷體" w:eastAsia="標楷體" w:hAnsi="標楷體" w:hint="eastAsia"/>
                <w:color w:val="000000" w:themeColor="text1"/>
                <w:sz w:val="28"/>
              </w:rPr>
              <w:t>統  一  裁  罰  基  準</w:t>
            </w:r>
          </w:p>
          <w:p w:rsidR="005A7C7C" w:rsidRDefault="005A7C7C">
            <w:pPr>
              <w:spacing w:line="460" w:lineRule="exact"/>
              <w:ind w:firstLineChars="250" w:firstLine="700"/>
              <w:rPr>
                <w:rFonts w:ascii="標楷體" w:eastAsia="標楷體" w:hAnsi="標楷體"/>
                <w:color w:val="000000" w:themeColor="text1"/>
                <w:sz w:val="28"/>
              </w:rPr>
            </w:pPr>
            <w:r>
              <w:rPr>
                <w:rFonts w:ascii="標楷體" w:eastAsia="標楷體" w:hAnsi="標楷體" w:hint="eastAsia"/>
                <w:color w:val="000000" w:themeColor="text1"/>
                <w:sz w:val="28"/>
              </w:rPr>
              <w:t>(新臺幣：元)</w:t>
            </w:r>
          </w:p>
        </w:tc>
      </w:tr>
      <w:tr w:rsidR="005A7C7C" w:rsidTr="005A7C7C">
        <w:trPr>
          <w:trHeight w:val="4030"/>
          <w:jc w:val="center"/>
        </w:trPr>
        <w:tc>
          <w:tcPr>
            <w:tcW w:w="508"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rPr>
                <w:rFonts w:ascii="標楷體" w:eastAsia="標楷體" w:hAnsi="標楷體"/>
                <w:color w:val="000000" w:themeColor="text1"/>
                <w:sz w:val="28"/>
              </w:rPr>
            </w:pPr>
            <w:r>
              <w:rPr>
                <w:rFonts w:ascii="標楷體" w:eastAsia="標楷體" w:hAnsi="標楷體" w:hint="eastAsia"/>
                <w:color w:val="000000" w:themeColor="text1"/>
                <w:sz w:val="28"/>
              </w:rPr>
              <w:t>壹</w:t>
            </w:r>
          </w:p>
        </w:tc>
        <w:tc>
          <w:tcPr>
            <w:tcW w:w="264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一、經紀業未於經紀人到職之日起十五日內，造具名冊報請所在地之主管機關層報中央主管機關備查，異動時，亦同。(第十二條)</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二、經紀業未將其仲介或代銷相關證照及許可文件連同經紀人證書揭示於營業處明顯之處；其為加盟經營者，未一併標明者。(第十八條)</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三、經營仲介業務者未揭示報酬基準及收取方式於營業處所明顯之處。(第二十條)</w:t>
            </w:r>
          </w:p>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四、經紀業拒絕主管機關檢查業務。(第二十七條)</w:t>
            </w:r>
          </w:p>
        </w:tc>
        <w:tc>
          <w:tcPr>
            <w:tcW w:w="170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rPr>
                <w:rFonts w:ascii="標楷體" w:eastAsia="標楷體" w:hAnsi="標楷體"/>
                <w:color w:val="000000" w:themeColor="text1"/>
                <w:sz w:val="28"/>
              </w:rPr>
            </w:pPr>
            <w:r>
              <w:rPr>
                <w:rFonts w:ascii="標楷體" w:eastAsia="標楷體" w:hAnsi="標楷體" w:hint="eastAsia"/>
                <w:color w:val="000000" w:themeColor="text1"/>
                <w:sz w:val="28"/>
              </w:rPr>
              <w:t>第二十九條第一項第一款、第二項</w:t>
            </w:r>
          </w:p>
        </w:tc>
        <w:tc>
          <w:tcPr>
            <w:tcW w:w="241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一、經限期改正而未改正者，處經紀業新臺幣三萬元以上十五萬元以下罰鍰。</w:t>
            </w:r>
          </w:p>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二、依前項處罰經紀業並限期改正而未改正者，應連續處罰。</w:t>
            </w:r>
          </w:p>
        </w:tc>
        <w:tc>
          <w:tcPr>
            <w:tcW w:w="326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ind w:leftChars="-12" w:left="475" w:hangingChars="180" w:hanging="504"/>
              <w:jc w:val="both"/>
              <w:rPr>
                <w:rFonts w:ascii="標楷體" w:eastAsia="標楷體" w:hAnsi="標楷體"/>
                <w:color w:val="000000" w:themeColor="text1"/>
                <w:sz w:val="28"/>
              </w:rPr>
            </w:pPr>
            <w:r>
              <w:rPr>
                <w:rFonts w:ascii="標楷體" w:eastAsia="標楷體" w:hAnsi="標楷體" w:hint="eastAsia"/>
                <w:color w:val="000000" w:themeColor="text1"/>
                <w:sz w:val="28"/>
              </w:rPr>
              <w:t>一、經通知限期十五日內改正，逾期未改正者，第一、二、三、四、五（含以上）次處罰，分別處新臺幣三、六、九、十二、十五萬元罰鍰。</w:t>
            </w:r>
          </w:p>
          <w:p w:rsidR="005A7C7C" w:rsidRDefault="005A7C7C">
            <w:pPr>
              <w:spacing w:line="460" w:lineRule="exact"/>
              <w:ind w:leftChars="-12" w:left="531" w:hangingChars="200" w:hanging="560"/>
              <w:jc w:val="both"/>
              <w:rPr>
                <w:rFonts w:ascii="標楷體" w:eastAsia="標楷體" w:hAnsi="標楷體"/>
                <w:color w:val="000000" w:themeColor="text1"/>
                <w:sz w:val="28"/>
              </w:rPr>
            </w:pPr>
            <w:r>
              <w:rPr>
                <w:rFonts w:ascii="標楷體" w:eastAsia="標楷體" w:hAnsi="標楷體" w:hint="eastAsia"/>
                <w:color w:val="000000" w:themeColor="text1"/>
                <w:sz w:val="28"/>
              </w:rPr>
              <w:t>二、本項之裁罰基準以同一違規事件為原則。違規事件有二種以上者，屬各別決意下之複數行為，依本項裁罰基準分別處罰。</w:t>
            </w:r>
          </w:p>
        </w:tc>
      </w:tr>
      <w:tr w:rsidR="005A7C7C" w:rsidTr="005A7C7C">
        <w:trPr>
          <w:trHeight w:val="7750"/>
          <w:jc w:val="center"/>
        </w:trPr>
        <w:tc>
          <w:tcPr>
            <w:tcW w:w="508"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rPr>
                <w:rFonts w:ascii="標楷體" w:eastAsia="標楷體" w:hAnsi="標楷體"/>
                <w:color w:val="000000" w:themeColor="text1"/>
                <w:sz w:val="28"/>
              </w:rPr>
            </w:pPr>
            <w:r>
              <w:rPr>
                <w:rFonts w:ascii="標楷體" w:eastAsia="標楷體" w:hAnsi="標楷體" w:hint="eastAsia"/>
                <w:color w:val="000000" w:themeColor="text1"/>
                <w:sz w:val="28"/>
              </w:rPr>
              <w:lastRenderedPageBreak/>
              <w:t>貳</w:t>
            </w:r>
          </w:p>
        </w:tc>
        <w:tc>
          <w:tcPr>
            <w:tcW w:w="264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一、經營仲介業務者，對於買賣或租賃委託案件，未於簽訂買賣契約書並辦竣所有權移轉登記或簽訂租賃契約書後三十日內，向主管機關申報登錄成交案件實際資訊。(第二十四條之一第一項)</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二、經營代銷業務者，對於起造人或建築業委託代銷之案件，未於委託代銷契約屆滿或終止三十日內，向主管機關申報登錄成交案件實際資訊。(第二十四條之一第二項)</w:t>
            </w:r>
          </w:p>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三、經紀業確有申報不實，應於接獲裁處書及限期改正申報通知書後十五日內改正；屆期未改正，應按次處罰並限期於十五日內改正，至完成</w:t>
            </w:r>
            <w:r>
              <w:rPr>
                <w:rFonts w:ascii="標楷體" w:eastAsia="標楷體" w:hAnsi="標楷體" w:hint="eastAsia"/>
                <w:color w:val="000000" w:themeColor="text1"/>
                <w:sz w:val="28"/>
              </w:rPr>
              <w:lastRenderedPageBreak/>
              <w:t>申報登錄為止。(本辦法第十一條第五項)</w:t>
            </w:r>
          </w:p>
        </w:tc>
        <w:tc>
          <w:tcPr>
            <w:tcW w:w="1700" w:type="dxa"/>
            <w:tcBorders>
              <w:top w:val="single" w:sz="4" w:space="0" w:color="auto"/>
              <w:left w:val="single" w:sz="4" w:space="0" w:color="auto"/>
              <w:bottom w:val="single" w:sz="4" w:space="0" w:color="auto"/>
              <w:right w:val="single" w:sz="4" w:space="0" w:color="auto"/>
            </w:tcBorders>
          </w:tcPr>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lastRenderedPageBreak/>
              <w:t>一、第二十九條第一項第二款、第二項。</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二、不動產成交案件實際申報登錄及查詢收費辦法第十一條</w:t>
            </w:r>
          </w:p>
          <w:p w:rsidR="005A7C7C" w:rsidRDefault="005A7C7C">
            <w:pPr>
              <w:spacing w:line="460" w:lineRule="exact"/>
              <w:ind w:left="420" w:hangingChars="150" w:hanging="420"/>
              <w:jc w:val="both"/>
              <w:rPr>
                <w:rFonts w:ascii="標楷體" w:eastAsia="標楷體" w:hAnsi="標楷體" w:hint="eastAsia"/>
                <w:color w:val="000000" w:themeColor="text1"/>
                <w:sz w:val="28"/>
              </w:rPr>
            </w:pPr>
          </w:p>
          <w:p w:rsidR="005A7C7C" w:rsidRDefault="005A7C7C">
            <w:pPr>
              <w:spacing w:line="460" w:lineRule="exact"/>
              <w:ind w:left="420" w:hangingChars="150" w:hanging="420"/>
              <w:jc w:val="both"/>
              <w:rPr>
                <w:rFonts w:ascii="標楷體" w:eastAsia="標楷體" w:hAnsi="標楷體"/>
                <w:color w:val="000000" w:themeColor="text1"/>
                <w:sz w:val="28"/>
              </w:rPr>
            </w:pPr>
          </w:p>
        </w:tc>
        <w:tc>
          <w:tcPr>
            <w:tcW w:w="2410" w:type="dxa"/>
            <w:tcBorders>
              <w:top w:val="single" w:sz="4" w:space="0" w:color="auto"/>
              <w:left w:val="single" w:sz="4" w:space="0" w:color="auto"/>
              <w:bottom w:val="single" w:sz="4" w:space="0" w:color="auto"/>
              <w:right w:val="single" w:sz="4" w:space="0" w:color="auto"/>
            </w:tcBorders>
          </w:tcPr>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 xml:space="preserve">一、處經紀業新臺幣三萬元以上十五萬元以下罰鍰。並限期於十五日內申報登錄。 </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二、依前項處罰經紀業並限期申報而屆期未申報者，應按次處罰至完成申報登錄為止。</w:t>
            </w:r>
          </w:p>
          <w:p w:rsidR="005A7C7C" w:rsidRDefault="005A7C7C">
            <w:pPr>
              <w:spacing w:line="460" w:lineRule="exact"/>
              <w:ind w:left="420" w:hangingChars="150" w:hanging="420"/>
              <w:jc w:val="both"/>
              <w:rPr>
                <w:rFonts w:ascii="標楷體" w:eastAsia="標楷體" w:hAnsi="標楷體"/>
                <w:color w:val="000000" w:themeColor="text1"/>
                <w:sz w:val="28"/>
              </w:rPr>
            </w:pPr>
          </w:p>
        </w:tc>
        <w:tc>
          <w:tcPr>
            <w:tcW w:w="326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一、第一次違規處新臺幣三萬元罰鍰，並通知限期十五日內申報登錄。</w:t>
            </w:r>
          </w:p>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二、經限期申報，屆期仍未申報登錄者，第二、三、四、五（含以上）次，按次分別處新臺幣六、九、十二、十五萬元罰鍰，並限期十五日內申報登錄，至完成申報登錄為止。</w:t>
            </w:r>
          </w:p>
        </w:tc>
      </w:tr>
      <w:tr w:rsidR="005A7C7C" w:rsidTr="005A7C7C">
        <w:trPr>
          <w:trHeight w:val="7750"/>
          <w:jc w:val="center"/>
        </w:trPr>
        <w:tc>
          <w:tcPr>
            <w:tcW w:w="508"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rPr>
                <w:rFonts w:ascii="標楷體" w:eastAsia="標楷體" w:hAnsi="標楷體"/>
                <w:color w:val="000000" w:themeColor="text1"/>
                <w:sz w:val="28"/>
              </w:rPr>
            </w:pPr>
            <w:r>
              <w:rPr>
                <w:rFonts w:ascii="標楷體" w:eastAsia="標楷體" w:hAnsi="標楷體" w:hint="eastAsia"/>
                <w:color w:val="000000" w:themeColor="text1"/>
                <w:sz w:val="28"/>
              </w:rPr>
              <w:lastRenderedPageBreak/>
              <w:t>參</w:t>
            </w:r>
          </w:p>
        </w:tc>
        <w:tc>
          <w:tcPr>
            <w:tcW w:w="264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一、經營仲介業務者未經買賣或租賃雙方當事人之書面同意，同時接受雙方之委託。(第二十四條之二)</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二、經營仲介業務者經買賣或租賃雙方當事人之書面同意，同時接受雙方之委託，未依下列規定辦理：(第二十四條之二)</w:t>
            </w:r>
          </w:p>
          <w:p w:rsidR="005A7C7C" w:rsidRDefault="005A7C7C">
            <w:pPr>
              <w:snapToGrid w:val="0"/>
              <w:spacing w:line="460" w:lineRule="exact"/>
              <w:ind w:leftChars="150" w:left="1038" w:hangingChars="242" w:hanging="678"/>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(一)公平提供雙方當事人類似不動產之交易價格。</w:t>
            </w:r>
          </w:p>
          <w:p w:rsidR="005A7C7C" w:rsidRDefault="005A7C7C">
            <w:pPr>
              <w:snapToGrid w:val="0"/>
              <w:spacing w:line="460" w:lineRule="exact"/>
              <w:ind w:leftChars="150" w:left="1038" w:hangingChars="242" w:hanging="678"/>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(二)公平提供雙方當事人有關契約內容規範之說明。</w:t>
            </w:r>
          </w:p>
          <w:p w:rsidR="005A7C7C" w:rsidRDefault="005A7C7C">
            <w:pPr>
              <w:snapToGrid w:val="0"/>
              <w:spacing w:line="460" w:lineRule="exact"/>
              <w:ind w:leftChars="150" w:left="1038" w:hangingChars="242" w:hanging="678"/>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(三)提供買受人或承租人關於不動產必要之資訊。</w:t>
            </w:r>
          </w:p>
          <w:p w:rsidR="005A7C7C" w:rsidRDefault="005A7C7C">
            <w:pPr>
              <w:snapToGrid w:val="0"/>
              <w:spacing w:line="460" w:lineRule="exact"/>
              <w:ind w:leftChars="150" w:left="1038" w:hangingChars="242" w:hanging="678"/>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(四)告知買受人或承租人依仲介專業應查知之不動產之瑕疵。</w:t>
            </w:r>
          </w:p>
          <w:p w:rsidR="005A7C7C" w:rsidRDefault="005A7C7C">
            <w:pPr>
              <w:snapToGrid w:val="0"/>
              <w:spacing w:line="460" w:lineRule="exact"/>
              <w:ind w:leftChars="150" w:left="1038" w:hangingChars="242" w:hanging="678"/>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lastRenderedPageBreak/>
              <w:t>(五)協助買受人或承租人對不動產進行必要之檢查。</w:t>
            </w:r>
          </w:p>
          <w:p w:rsidR="005A7C7C" w:rsidRDefault="005A7C7C">
            <w:pPr>
              <w:snapToGrid w:val="0"/>
              <w:spacing w:line="460" w:lineRule="exact"/>
              <w:ind w:leftChars="150" w:left="1038" w:hangingChars="242" w:hanging="678"/>
              <w:jc w:val="both"/>
              <w:rPr>
                <w:rFonts w:ascii="標楷體" w:eastAsia="標楷體" w:hAnsi="標楷體"/>
                <w:color w:val="000000" w:themeColor="text1"/>
                <w:sz w:val="28"/>
              </w:rPr>
            </w:pPr>
            <w:r>
              <w:rPr>
                <w:rFonts w:ascii="標楷體" w:eastAsia="標楷體" w:hAnsi="標楷體" w:hint="eastAsia"/>
                <w:color w:val="000000" w:themeColor="text1"/>
                <w:sz w:val="28"/>
              </w:rPr>
              <w:t>(六)其他經中央主管機關為保護買賣或租賃當事人所為之規定。</w:t>
            </w:r>
          </w:p>
        </w:tc>
        <w:tc>
          <w:tcPr>
            <w:tcW w:w="1700" w:type="dxa"/>
            <w:tcBorders>
              <w:top w:val="single" w:sz="4" w:space="0" w:color="auto"/>
              <w:left w:val="single" w:sz="4" w:space="0" w:color="auto"/>
              <w:bottom w:val="single" w:sz="4" w:space="0" w:color="auto"/>
              <w:right w:val="single" w:sz="4" w:space="0" w:color="auto"/>
            </w:tcBorders>
            <w:hideMark/>
          </w:tcPr>
          <w:p w:rsidR="005A7C7C" w:rsidRDefault="005A7C7C">
            <w:pPr>
              <w:snapToGrid w:val="0"/>
              <w:spacing w:line="460" w:lineRule="exact"/>
              <w:jc w:val="both"/>
              <w:rPr>
                <w:rFonts w:ascii="標楷體" w:eastAsia="標楷體" w:hAnsi="標楷體"/>
                <w:color w:val="000000" w:themeColor="text1"/>
                <w:sz w:val="28"/>
              </w:rPr>
            </w:pPr>
            <w:r>
              <w:rPr>
                <w:rFonts w:ascii="標楷體" w:eastAsia="標楷體" w:hAnsi="標楷體" w:hint="eastAsia"/>
                <w:color w:val="000000" w:themeColor="text1"/>
                <w:sz w:val="28"/>
              </w:rPr>
              <w:lastRenderedPageBreak/>
              <w:t>第二十九條第一項第二款、第二項</w:t>
            </w:r>
          </w:p>
        </w:tc>
        <w:tc>
          <w:tcPr>
            <w:tcW w:w="2410" w:type="dxa"/>
            <w:tcBorders>
              <w:top w:val="single" w:sz="4" w:space="0" w:color="auto"/>
              <w:left w:val="single" w:sz="4" w:space="0" w:color="auto"/>
              <w:bottom w:val="single" w:sz="4" w:space="0" w:color="auto"/>
              <w:right w:val="single" w:sz="4" w:space="0" w:color="auto"/>
            </w:tcBorders>
          </w:tcPr>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 xml:space="preserve">一、處經紀業新臺幣三萬元以上十五萬元以下罰鍰。並限期改正。 </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二、依前項處罰經紀業並限期改正而屆期未改正者，應按次處罰至改正為止。</w:t>
            </w:r>
          </w:p>
          <w:p w:rsidR="005A7C7C" w:rsidRDefault="005A7C7C">
            <w:pPr>
              <w:spacing w:line="460" w:lineRule="exact"/>
              <w:ind w:left="420" w:hangingChars="150" w:hanging="420"/>
              <w:jc w:val="both"/>
              <w:rPr>
                <w:rFonts w:ascii="標楷體" w:eastAsia="標楷體" w:hAnsi="標楷體"/>
                <w:color w:val="000000" w:themeColor="text1"/>
                <w:sz w:val="28"/>
              </w:rPr>
            </w:pPr>
          </w:p>
        </w:tc>
        <w:tc>
          <w:tcPr>
            <w:tcW w:w="326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ind w:leftChars="-12" w:left="475" w:hangingChars="180" w:hanging="504"/>
              <w:jc w:val="both"/>
              <w:rPr>
                <w:rFonts w:ascii="標楷體" w:eastAsia="標楷體" w:hAnsi="標楷體"/>
                <w:color w:val="000000" w:themeColor="text1"/>
                <w:sz w:val="28"/>
              </w:rPr>
            </w:pPr>
            <w:r>
              <w:rPr>
                <w:rFonts w:ascii="標楷體" w:eastAsia="標楷體" w:hAnsi="標楷體" w:hint="eastAsia"/>
                <w:color w:val="000000" w:themeColor="text1"/>
                <w:sz w:val="28"/>
              </w:rPr>
              <w:t>一、第一次違規處新臺幣三萬元罰鍰，並通知限期十五日內申報登錄。</w:t>
            </w:r>
          </w:p>
          <w:p w:rsidR="005A7C7C" w:rsidRDefault="005A7C7C">
            <w:pPr>
              <w:spacing w:line="460" w:lineRule="exact"/>
              <w:ind w:leftChars="-12" w:left="531" w:hangingChars="200" w:hanging="560"/>
              <w:jc w:val="both"/>
              <w:rPr>
                <w:rFonts w:ascii="標楷體" w:eastAsia="標楷體" w:hAnsi="標楷體"/>
                <w:color w:val="000000" w:themeColor="text1"/>
                <w:sz w:val="28"/>
              </w:rPr>
            </w:pPr>
            <w:r>
              <w:rPr>
                <w:rFonts w:ascii="標楷體" w:eastAsia="標楷體" w:hAnsi="標楷體" w:hint="eastAsia"/>
                <w:color w:val="000000" w:themeColor="text1"/>
                <w:sz w:val="28"/>
              </w:rPr>
              <w:t>二、經限期申報，屆期仍未申報登錄者，第二、三、四、五（含以上）次，按次分別處新臺幣六、九、十二、十五萬元罰鍰，並限期十五日內申報登錄，至完成申報登錄為止。</w:t>
            </w:r>
          </w:p>
        </w:tc>
      </w:tr>
      <w:tr w:rsidR="005A7C7C" w:rsidTr="005A7C7C">
        <w:trPr>
          <w:trHeight w:val="7750"/>
          <w:jc w:val="center"/>
        </w:trPr>
        <w:tc>
          <w:tcPr>
            <w:tcW w:w="508" w:type="dxa"/>
            <w:tcBorders>
              <w:top w:val="single" w:sz="4" w:space="0" w:color="auto"/>
              <w:left w:val="single" w:sz="4" w:space="0" w:color="auto"/>
              <w:bottom w:val="single" w:sz="4" w:space="0" w:color="auto"/>
              <w:right w:val="single" w:sz="4" w:space="0" w:color="auto"/>
            </w:tcBorders>
          </w:tcPr>
          <w:p w:rsidR="005A7C7C" w:rsidRDefault="005A7C7C">
            <w:pPr>
              <w:spacing w:line="460" w:lineRule="exact"/>
              <w:rPr>
                <w:rFonts w:ascii="標楷體" w:eastAsia="標楷體" w:hAnsi="標楷體"/>
                <w:color w:val="000000" w:themeColor="text1"/>
                <w:sz w:val="28"/>
              </w:rPr>
            </w:pPr>
            <w:r>
              <w:rPr>
                <w:rFonts w:ascii="標楷體" w:eastAsia="標楷體" w:hAnsi="標楷體" w:hint="eastAsia"/>
                <w:color w:val="000000" w:themeColor="text1"/>
                <w:sz w:val="28"/>
              </w:rPr>
              <w:lastRenderedPageBreak/>
              <w:t>肆</w:t>
            </w:r>
          </w:p>
          <w:p w:rsidR="005A7C7C" w:rsidRDefault="005A7C7C">
            <w:pPr>
              <w:spacing w:line="460" w:lineRule="exact"/>
              <w:rPr>
                <w:rFonts w:ascii="標楷體" w:eastAsia="標楷體" w:hAnsi="標楷體"/>
                <w:color w:val="000000" w:themeColor="text1"/>
                <w:sz w:val="28"/>
              </w:rPr>
            </w:pPr>
          </w:p>
        </w:tc>
        <w:tc>
          <w:tcPr>
            <w:tcW w:w="264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ind w:left="420" w:hangingChars="150" w:hanging="420"/>
              <w:jc w:val="both"/>
              <w:rPr>
                <w:rFonts w:ascii="標楷體" w:eastAsia="標楷體" w:hAnsi="標楷體"/>
                <w:color w:val="000000" w:themeColor="text1"/>
                <w:sz w:val="28"/>
              </w:rPr>
            </w:pPr>
            <w:r>
              <w:rPr>
                <w:rFonts w:ascii="標楷體" w:eastAsia="標楷體" w:hAnsi="標楷體" w:hint="eastAsia"/>
                <w:color w:val="000000" w:themeColor="text1"/>
                <w:sz w:val="28"/>
              </w:rPr>
              <w:t>一、經紀業設立之營業處所未置經紀人。經紀業之非常態營業處所，其銷售總金額達新臺幣六億元以上，未置專業經紀人。(第十一條第一項)</w:t>
            </w:r>
          </w:p>
          <w:p w:rsidR="005A7C7C" w:rsidRDefault="005A7C7C">
            <w:pPr>
              <w:snapToGrid w:val="0"/>
              <w:spacing w:line="460" w:lineRule="exact"/>
              <w:ind w:leftChars="150" w:left="36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營業處所經紀營業員數每逾二十名時，未增設經紀人一人。(第十一條第二項)</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二、經紀業僱用未具備經紀人員資格者從事仲介或代銷業務。(第十七條)</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三、經紀業或經紀人員收取差價或其他報酬。(第十九條第一項前段)</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四、經營仲介業務時未依實際成交價金或租金按中央主管機關規定之報酬基準計收。(第十九條第一項後段)</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lastRenderedPageBreak/>
              <w:t>五、經紀業未與委託人簽訂委託契約書，即刊登廣告及銷售。(第二十一條第一項)</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六、所刊廣告及銷售內容，與事實不符，或未註明經紀業名稱。(第二十一條第二項)</w:t>
            </w:r>
          </w:p>
          <w:p w:rsidR="005A7C7C" w:rsidRDefault="005A7C7C">
            <w:pPr>
              <w:spacing w:line="460" w:lineRule="exact"/>
              <w:ind w:left="420" w:hangingChars="150" w:hanging="42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七、經紀業受託從事不動產之買賣、互易、</w:t>
            </w:r>
            <w:bookmarkStart w:id="0" w:name="_GoBack"/>
            <w:bookmarkEnd w:id="0"/>
            <w:r>
              <w:rPr>
                <w:rFonts w:ascii="標楷體" w:eastAsia="標楷體" w:hAnsi="標楷體" w:hint="eastAsia"/>
                <w:color w:val="000000" w:themeColor="text1"/>
                <w:sz w:val="28"/>
              </w:rPr>
              <w:t>租賃或代理銷售，未指派經紀人從事下列文件之簽章：(第二十二條)</w:t>
            </w:r>
          </w:p>
          <w:p w:rsidR="005A7C7C" w:rsidRDefault="005A7C7C">
            <w:pPr>
              <w:snapToGrid w:val="0"/>
              <w:spacing w:line="460" w:lineRule="exact"/>
              <w:ind w:leftChars="197" w:left="1181" w:hangingChars="253" w:hanging="708"/>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(一)不動產出租、出售委託契約書。</w:t>
            </w:r>
          </w:p>
          <w:p w:rsidR="005A7C7C" w:rsidRDefault="005A7C7C">
            <w:pPr>
              <w:snapToGrid w:val="0"/>
              <w:spacing w:line="460" w:lineRule="exact"/>
              <w:ind w:leftChars="197" w:left="1181" w:hangingChars="253" w:hanging="708"/>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(二)不動產承租、承購要約書。</w:t>
            </w:r>
          </w:p>
          <w:p w:rsidR="005A7C7C" w:rsidRDefault="005A7C7C">
            <w:pPr>
              <w:snapToGrid w:val="0"/>
              <w:spacing w:line="460" w:lineRule="exact"/>
              <w:ind w:leftChars="197" w:left="1181" w:hangingChars="253" w:hanging="708"/>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(三)定金收據。</w:t>
            </w:r>
          </w:p>
          <w:p w:rsidR="005A7C7C" w:rsidRDefault="005A7C7C">
            <w:pPr>
              <w:snapToGrid w:val="0"/>
              <w:spacing w:line="460" w:lineRule="exact"/>
              <w:ind w:leftChars="197" w:left="1181" w:hangingChars="253" w:hanging="708"/>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(四)不動產廣告稿。</w:t>
            </w:r>
          </w:p>
          <w:p w:rsidR="005A7C7C" w:rsidRDefault="005A7C7C">
            <w:pPr>
              <w:snapToGrid w:val="0"/>
              <w:spacing w:line="460" w:lineRule="exact"/>
              <w:ind w:leftChars="197" w:left="1181" w:hangingChars="253" w:hanging="708"/>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(五)不動產說明書。</w:t>
            </w:r>
          </w:p>
          <w:p w:rsidR="005A7C7C" w:rsidRDefault="005A7C7C">
            <w:pPr>
              <w:snapToGrid w:val="0"/>
              <w:spacing w:line="460" w:lineRule="exact"/>
              <w:ind w:leftChars="197" w:left="1181" w:hangingChars="253" w:hanging="708"/>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(六)不動產租賃、買賣契</w:t>
            </w:r>
            <w:r>
              <w:rPr>
                <w:rFonts w:ascii="標楷體" w:eastAsia="標楷體" w:hAnsi="標楷體" w:hint="eastAsia"/>
                <w:color w:val="000000" w:themeColor="text1"/>
                <w:sz w:val="28"/>
              </w:rPr>
              <w:lastRenderedPageBreak/>
              <w:t>約書。</w:t>
            </w:r>
          </w:p>
          <w:p w:rsidR="005A7C7C" w:rsidRDefault="005A7C7C">
            <w:pPr>
              <w:spacing w:line="460" w:lineRule="exact"/>
              <w:ind w:leftChars="150" w:left="360"/>
              <w:jc w:val="both"/>
              <w:rPr>
                <w:rFonts w:ascii="標楷體" w:eastAsia="標楷體" w:hAnsi="標楷體"/>
                <w:color w:val="000000" w:themeColor="text1"/>
                <w:sz w:val="28"/>
              </w:rPr>
            </w:pPr>
            <w:r>
              <w:rPr>
                <w:rFonts w:ascii="標楷體" w:eastAsia="標楷體" w:hAnsi="標楷體" w:hint="eastAsia"/>
                <w:color w:val="000000" w:themeColor="text1"/>
                <w:sz w:val="28"/>
              </w:rPr>
              <w:t>前項第一款及第二款之規定，於經營代銷業務者不適用之。</w:t>
            </w:r>
          </w:p>
        </w:tc>
        <w:tc>
          <w:tcPr>
            <w:tcW w:w="1700" w:type="dxa"/>
            <w:tcBorders>
              <w:top w:val="single" w:sz="4" w:space="0" w:color="auto"/>
              <w:left w:val="single" w:sz="4" w:space="0" w:color="auto"/>
              <w:bottom w:val="single" w:sz="4" w:space="0" w:color="auto"/>
              <w:right w:val="single" w:sz="4" w:space="0" w:color="auto"/>
            </w:tcBorders>
          </w:tcPr>
          <w:p w:rsidR="005A7C7C" w:rsidRDefault="005A7C7C">
            <w:pPr>
              <w:snapToGrid w:val="0"/>
              <w:spacing w:line="460" w:lineRule="exact"/>
              <w:jc w:val="both"/>
              <w:rPr>
                <w:rFonts w:ascii="標楷體" w:eastAsia="標楷體" w:hAnsi="標楷體"/>
                <w:color w:val="000000" w:themeColor="text1"/>
                <w:sz w:val="28"/>
              </w:rPr>
            </w:pPr>
            <w:r>
              <w:rPr>
                <w:rFonts w:ascii="標楷體" w:eastAsia="標楷體" w:hAnsi="標楷體" w:hint="eastAsia"/>
                <w:color w:val="000000" w:themeColor="text1"/>
                <w:sz w:val="28"/>
              </w:rPr>
              <w:lastRenderedPageBreak/>
              <w:t>第二十九條第一項第三款、第二項</w:t>
            </w:r>
          </w:p>
          <w:p w:rsidR="005A7C7C" w:rsidRDefault="005A7C7C">
            <w:pPr>
              <w:snapToGrid w:val="0"/>
              <w:spacing w:line="460" w:lineRule="exact"/>
              <w:jc w:val="both"/>
              <w:rPr>
                <w:rFonts w:ascii="標楷體" w:eastAsia="標楷體" w:hAnsi="標楷體"/>
                <w:color w:val="000000" w:themeColor="text1"/>
                <w:sz w:val="28"/>
              </w:rPr>
            </w:pPr>
          </w:p>
        </w:tc>
        <w:tc>
          <w:tcPr>
            <w:tcW w:w="2410" w:type="dxa"/>
            <w:tcBorders>
              <w:top w:val="single" w:sz="4" w:space="0" w:color="auto"/>
              <w:left w:val="single" w:sz="4" w:space="0" w:color="auto"/>
              <w:bottom w:val="single" w:sz="4" w:space="0" w:color="auto"/>
              <w:right w:val="single" w:sz="4" w:space="0" w:color="auto"/>
            </w:tcBorders>
          </w:tcPr>
          <w:p w:rsidR="005A7C7C" w:rsidRDefault="005A7C7C">
            <w:pPr>
              <w:spacing w:line="460" w:lineRule="exact"/>
              <w:ind w:left="560" w:hangingChars="200" w:hanging="560"/>
              <w:jc w:val="both"/>
              <w:rPr>
                <w:rFonts w:ascii="標楷體" w:eastAsia="標楷體" w:hAnsi="標楷體"/>
                <w:color w:val="000000" w:themeColor="text1"/>
                <w:sz w:val="28"/>
              </w:rPr>
            </w:pPr>
            <w:r>
              <w:rPr>
                <w:rFonts w:ascii="標楷體" w:eastAsia="標楷體" w:hAnsi="標楷體" w:hint="eastAsia"/>
                <w:color w:val="000000" w:themeColor="text1"/>
                <w:sz w:val="28"/>
              </w:rPr>
              <w:t>一、處經紀業新臺幣六萬元以上三十萬元以下罰鍰。</w:t>
            </w:r>
          </w:p>
          <w:p w:rsidR="005A7C7C" w:rsidRDefault="005A7C7C">
            <w:pPr>
              <w:spacing w:line="460" w:lineRule="exact"/>
              <w:ind w:left="560" w:hangingChars="200" w:hanging="56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二、限期改正而未改正者，應連續處罰。</w:t>
            </w:r>
          </w:p>
          <w:p w:rsidR="005A7C7C" w:rsidRDefault="005A7C7C">
            <w:pPr>
              <w:spacing w:line="460" w:lineRule="exact"/>
              <w:ind w:left="560" w:hangingChars="200" w:hanging="560"/>
              <w:jc w:val="both"/>
              <w:rPr>
                <w:rFonts w:ascii="標楷體" w:eastAsia="標楷體" w:hAnsi="標楷體"/>
                <w:color w:val="000000" w:themeColor="text1"/>
                <w:sz w:val="28"/>
              </w:rPr>
            </w:pPr>
          </w:p>
        </w:tc>
        <w:tc>
          <w:tcPr>
            <w:tcW w:w="3260" w:type="dxa"/>
            <w:tcBorders>
              <w:top w:val="single" w:sz="4" w:space="0" w:color="auto"/>
              <w:left w:val="single" w:sz="4" w:space="0" w:color="auto"/>
              <w:bottom w:val="single" w:sz="4" w:space="0" w:color="auto"/>
              <w:right w:val="single" w:sz="4" w:space="0" w:color="auto"/>
            </w:tcBorders>
          </w:tcPr>
          <w:p w:rsidR="005A7C7C" w:rsidRDefault="005A7C7C">
            <w:pPr>
              <w:spacing w:line="460" w:lineRule="exact"/>
              <w:ind w:left="490" w:hangingChars="175" w:hanging="490"/>
              <w:jc w:val="both"/>
              <w:rPr>
                <w:rFonts w:ascii="標楷體" w:eastAsia="標楷體" w:hAnsi="標楷體"/>
                <w:color w:val="000000" w:themeColor="text1"/>
                <w:sz w:val="28"/>
              </w:rPr>
            </w:pPr>
            <w:r>
              <w:rPr>
                <w:rFonts w:ascii="標楷體" w:eastAsia="標楷體" w:hAnsi="標楷體" w:hint="eastAsia"/>
                <w:color w:val="000000" w:themeColor="text1"/>
                <w:sz w:val="28"/>
              </w:rPr>
              <w:t>一、第一、二、三、四、五（含以上）次違規，分別處新臺幣六、十二、十八、二十四、三十萬元罰鍰，並限期十五日內改正。</w:t>
            </w:r>
          </w:p>
          <w:p w:rsidR="005A7C7C" w:rsidRDefault="005A7C7C">
            <w:pPr>
              <w:spacing w:line="460" w:lineRule="exact"/>
              <w:ind w:left="490" w:hangingChars="175" w:hanging="49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二、本項之裁罰基準以同一違規事件為原則；違規事件有二種以上者，屬各別決意下之複數行為，依本項裁罰基準分別處罰。</w:t>
            </w:r>
          </w:p>
          <w:p w:rsidR="005A7C7C" w:rsidRDefault="005A7C7C">
            <w:pPr>
              <w:spacing w:line="460" w:lineRule="exact"/>
              <w:ind w:left="580" w:hangingChars="207" w:hanging="580"/>
              <w:jc w:val="both"/>
              <w:rPr>
                <w:rFonts w:ascii="標楷體" w:eastAsia="標楷體" w:hAnsi="標楷體"/>
                <w:color w:val="000000" w:themeColor="text1"/>
                <w:sz w:val="28"/>
              </w:rPr>
            </w:pPr>
          </w:p>
        </w:tc>
      </w:tr>
      <w:tr w:rsidR="005A7C7C" w:rsidTr="005A7C7C">
        <w:trPr>
          <w:trHeight w:val="2145"/>
          <w:jc w:val="center"/>
        </w:trPr>
        <w:tc>
          <w:tcPr>
            <w:tcW w:w="508"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rPr>
                <w:rFonts w:ascii="標楷體" w:eastAsia="標楷體" w:hAnsi="標楷體"/>
                <w:color w:val="000000" w:themeColor="text1"/>
                <w:sz w:val="28"/>
              </w:rPr>
            </w:pPr>
            <w:r>
              <w:rPr>
                <w:rFonts w:ascii="標楷體" w:eastAsia="標楷體" w:hAnsi="標楷體" w:hint="eastAsia"/>
                <w:color w:val="000000" w:themeColor="text1"/>
                <w:sz w:val="28"/>
              </w:rPr>
              <w:lastRenderedPageBreak/>
              <w:t>伍</w:t>
            </w:r>
          </w:p>
        </w:tc>
        <w:tc>
          <w:tcPr>
            <w:tcW w:w="264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jc w:val="both"/>
              <w:rPr>
                <w:rFonts w:ascii="標楷體" w:eastAsia="標楷體" w:hAnsi="標楷體"/>
                <w:color w:val="000000" w:themeColor="text1"/>
                <w:sz w:val="28"/>
              </w:rPr>
            </w:pPr>
            <w:r>
              <w:rPr>
                <w:rFonts w:ascii="標楷體" w:eastAsia="標楷體" w:hAnsi="標楷體" w:hint="eastAsia"/>
                <w:color w:val="000000" w:themeColor="text1"/>
                <w:sz w:val="28"/>
              </w:rPr>
              <w:t>非經紀業而經營仲介或代銷業務者。</w:t>
            </w:r>
          </w:p>
        </w:tc>
        <w:tc>
          <w:tcPr>
            <w:tcW w:w="170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jc w:val="both"/>
              <w:rPr>
                <w:rFonts w:ascii="標楷體" w:eastAsia="標楷體" w:hAnsi="標楷體"/>
                <w:color w:val="000000" w:themeColor="text1"/>
                <w:sz w:val="28"/>
              </w:rPr>
            </w:pPr>
            <w:r>
              <w:rPr>
                <w:rFonts w:ascii="標楷體" w:eastAsia="標楷體" w:hAnsi="標楷體" w:hint="eastAsia"/>
                <w:color w:val="000000" w:themeColor="text1"/>
                <w:sz w:val="28"/>
              </w:rPr>
              <w:t>第三十二條</w:t>
            </w:r>
          </w:p>
        </w:tc>
        <w:tc>
          <w:tcPr>
            <w:tcW w:w="241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ind w:left="560" w:hangingChars="200" w:hanging="560"/>
              <w:jc w:val="both"/>
              <w:rPr>
                <w:rFonts w:ascii="標楷體" w:eastAsia="標楷體" w:hAnsi="標楷體"/>
                <w:color w:val="000000" w:themeColor="text1"/>
                <w:sz w:val="28"/>
              </w:rPr>
            </w:pPr>
            <w:r>
              <w:rPr>
                <w:rFonts w:ascii="標楷體" w:eastAsia="標楷體" w:hAnsi="標楷體" w:hint="eastAsia"/>
                <w:color w:val="000000" w:themeColor="text1"/>
                <w:sz w:val="28"/>
              </w:rPr>
              <w:t>一、應禁止其營業，並處公司負責人、商號負責人或行為人新臺幣十萬元以上三十萬元以下罰鍰。</w:t>
            </w:r>
          </w:p>
          <w:p w:rsidR="005A7C7C" w:rsidRDefault="005A7C7C">
            <w:pPr>
              <w:spacing w:line="460" w:lineRule="exact"/>
              <w:ind w:left="560" w:hangingChars="200" w:hanging="560"/>
              <w:jc w:val="both"/>
              <w:rPr>
                <w:rFonts w:ascii="標楷體" w:eastAsia="標楷體" w:hAnsi="標楷體"/>
                <w:color w:val="000000" w:themeColor="text1"/>
                <w:sz w:val="28"/>
              </w:rPr>
            </w:pPr>
            <w:r>
              <w:rPr>
                <w:rFonts w:ascii="標楷體" w:eastAsia="標楷體" w:hAnsi="標楷體" w:hint="eastAsia"/>
                <w:color w:val="000000" w:themeColor="text1"/>
                <w:sz w:val="28"/>
              </w:rPr>
              <w:t>二、公司負責人、商號負責人或行為人經主管機關依前項規定為禁止營業處分後，仍繼</w:t>
            </w:r>
            <w:r>
              <w:rPr>
                <w:rFonts w:ascii="標楷體" w:eastAsia="標楷體" w:hAnsi="標楷體" w:hint="eastAsia"/>
                <w:color w:val="000000" w:themeColor="text1"/>
                <w:sz w:val="28"/>
              </w:rPr>
              <w:lastRenderedPageBreak/>
              <w:t>續營業者，處一年以下有期徒刑、拘役或併科新臺幣十萬元以上三十萬元以下罰鍰。</w:t>
            </w:r>
          </w:p>
        </w:tc>
        <w:tc>
          <w:tcPr>
            <w:tcW w:w="3260" w:type="dxa"/>
            <w:tcBorders>
              <w:top w:val="single" w:sz="4" w:space="0" w:color="auto"/>
              <w:left w:val="single" w:sz="4" w:space="0" w:color="auto"/>
              <w:bottom w:val="single" w:sz="4" w:space="0" w:color="auto"/>
              <w:right w:val="single" w:sz="4" w:space="0" w:color="auto"/>
            </w:tcBorders>
            <w:hideMark/>
          </w:tcPr>
          <w:p w:rsidR="005A7C7C" w:rsidRDefault="005A7C7C">
            <w:pPr>
              <w:spacing w:line="460" w:lineRule="exact"/>
              <w:ind w:left="560" w:hangingChars="200" w:hanging="560"/>
              <w:jc w:val="both"/>
              <w:rPr>
                <w:rFonts w:ascii="標楷體" w:eastAsia="標楷體" w:hAnsi="標楷體"/>
                <w:color w:val="000000" w:themeColor="text1"/>
                <w:sz w:val="28"/>
              </w:rPr>
            </w:pPr>
            <w:r>
              <w:rPr>
                <w:rFonts w:ascii="標楷體" w:eastAsia="標楷體" w:hAnsi="標楷體" w:hint="eastAsia"/>
                <w:color w:val="000000" w:themeColor="text1"/>
                <w:sz w:val="28"/>
              </w:rPr>
              <w:lastRenderedPageBreak/>
              <w:t>一、公司負責人、商號負責人或行為人違反上開規定第一次被查獲者，處新臺幣十萬元並立即禁止其營業；仍繼續營業者，依本條例第三十二條第二項規定移送司法機關。</w:t>
            </w:r>
          </w:p>
          <w:p w:rsidR="005A7C7C" w:rsidRDefault="005A7C7C">
            <w:pPr>
              <w:spacing w:line="460" w:lineRule="exact"/>
              <w:ind w:left="560" w:hangingChars="200" w:hanging="560"/>
              <w:jc w:val="both"/>
              <w:rPr>
                <w:rFonts w:ascii="標楷體" w:eastAsia="標楷體" w:hAnsi="標楷體" w:hint="eastAsia"/>
                <w:color w:val="000000" w:themeColor="text1"/>
                <w:sz w:val="28"/>
              </w:rPr>
            </w:pPr>
            <w:r>
              <w:rPr>
                <w:rFonts w:ascii="標楷體" w:eastAsia="標楷體" w:hAnsi="標楷體" w:hint="eastAsia"/>
                <w:color w:val="000000" w:themeColor="text1"/>
                <w:sz w:val="28"/>
              </w:rPr>
              <w:t>二、前項公司負責人、商號負責人或行為人經移送司法機關執行完畢後，第二次違反上</w:t>
            </w:r>
            <w:r>
              <w:rPr>
                <w:rFonts w:ascii="標楷體" w:eastAsia="標楷體" w:hAnsi="標楷體" w:hint="eastAsia"/>
                <w:color w:val="000000" w:themeColor="text1"/>
                <w:sz w:val="28"/>
              </w:rPr>
              <w:lastRenderedPageBreak/>
              <w:t>開規定被查獲者，處新臺幣二十萬元並立即禁止其營業；仍繼續營業者，依本條例第三十二條第二項規定移送司法機關。</w:t>
            </w:r>
          </w:p>
          <w:p w:rsidR="005A7C7C" w:rsidRDefault="005A7C7C">
            <w:pPr>
              <w:spacing w:line="460" w:lineRule="exact"/>
              <w:ind w:left="560" w:hangingChars="200" w:hanging="560"/>
              <w:jc w:val="both"/>
              <w:rPr>
                <w:rFonts w:ascii="標楷體" w:eastAsia="標楷體" w:hAnsi="標楷體"/>
                <w:color w:val="000000" w:themeColor="text1"/>
                <w:sz w:val="28"/>
              </w:rPr>
            </w:pPr>
            <w:r>
              <w:rPr>
                <w:rFonts w:ascii="標楷體" w:eastAsia="標楷體" w:hAnsi="標楷體" w:hint="eastAsia"/>
                <w:color w:val="000000" w:themeColor="text1"/>
                <w:sz w:val="28"/>
              </w:rPr>
              <w:t>三、前項公司負責人、商號負責人或行為人經移送司法機關執行完畢後，第三次（含以上）違反上開規定被查獲者，處新臺幣三十萬元並立即禁止其營業；仍繼續營業者，依本條例第三十二條第二項規定移送司法機關。</w:t>
            </w:r>
          </w:p>
        </w:tc>
      </w:tr>
    </w:tbl>
    <w:p w:rsidR="005A7C7C" w:rsidRDefault="005A7C7C" w:rsidP="005A7C7C">
      <w:pPr>
        <w:rPr>
          <w:rFonts w:hint="eastAsia"/>
        </w:rPr>
      </w:pPr>
    </w:p>
    <w:p w:rsidR="00822A46" w:rsidRDefault="00822A46"/>
    <w:sectPr w:rsidR="00822A46">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A46" w:rsidRDefault="00822A46" w:rsidP="005A7C7C">
      <w:r>
        <w:separator/>
      </w:r>
    </w:p>
  </w:endnote>
  <w:endnote w:type="continuationSeparator" w:id="1">
    <w:p w:rsidR="00822A46" w:rsidRDefault="00822A46" w:rsidP="005A7C7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A46" w:rsidRDefault="00822A46" w:rsidP="005A7C7C">
      <w:r>
        <w:separator/>
      </w:r>
    </w:p>
  </w:footnote>
  <w:footnote w:type="continuationSeparator" w:id="1">
    <w:p w:rsidR="00822A46" w:rsidRDefault="00822A46" w:rsidP="005A7C7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A7C7C"/>
    <w:rsid w:val="005A7C7C"/>
    <w:rsid w:val="00822A4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C7C"/>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A7C7C"/>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semiHidden/>
    <w:rsid w:val="005A7C7C"/>
    <w:rPr>
      <w:sz w:val="20"/>
      <w:szCs w:val="20"/>
    </w:rPr>
  </w:style>
  <w:style w:type="paragraph" w:styleId="a5">
    <w:name w:val="footer"/>
    <w:basedOn w:val="a"/>
    <w:link w:val="a6"/>
    <w:uiPriority w:val="99"/>
    <w:semiHidden/>
    <w:unhideWhenUsed/>
    <w:rsid w:val="005A7C7C"/>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semiHidden/>
    <w:rsid w:val="005A7C7C"/>
    <w:rPr>
      <w:sz w:val="20"/>
      <w:szCs w:val="20"/>
    </w:rPr>
  </w:style>
</w:styles>
</file>

<file path=word/webSettings.xml><?xml version="1.0" encoding="utf-8"?>
<w:webSettings xmlns:r="http://schemas.openxmlformats.org/officeDocument/2006/relationships" xmlns:w="http://schemas.openxmlformats.org/wordprocessingml/2006/main">
  <w:divs>
    <w:div w:id="178777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370</Words>
  <Characters>2113</Characters>
  <Application>Microsoft Office Word</Application>
  <DocSecurity>0</DocSecurity>
  <Lines>17</Lines>
  <Paragraphs>4</Paragraphs>
  <ScaleCrop>false</ScaleCrop>
  <Company/>
  <LinksUpToDate>false</LinksUpToDate>
  <CharactersWithSpaces>2479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t0328</dc:creator>
  <cp:keywords/>
  <dc:description/>
  <cp:lastModifiedBy>t0328</cp:lastModifiedBy>
  <cp:revision>3</cp:revision>
  <dcterms:created xsi:type="dcterms:W3CDTF">2013-11-06T03:56:00Z</dcterms:created>
  <dcterms:modified xsi:type="dcterms:W3CDTF">2013-11-06T03:56:00Z</dcterms:modified>
</cp:coreProperties>
</file>