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99D44" w14:textId="77C86A80" w:rsidR="008D2711" w:rsidRDefault="008D2711" w:rsidP="008D2711">
      <w:pPr>
        <w:rPr>
          <w:rFonts w:ascii="標楷體" w:eastAsia="標楷體" w:hAnsi="標楷體"/>
          <w:sz w:val="40"/>
          <w:szCs w:val="40"/>
        </w:rPr>
      </w:pPr>
      <w:bookmarkStart w:id="0" w:name="_GoBack"/>
      <w:r w:rsidRPr="008D2711">
        <w:rPr>
          <w:rFonts w:ascii="標楷體" w:eastAsia="標楷體" w:hAnsi="標楷體" w:hint="eastAsia"/>
          <w:sz w:val="40"/>
          <w:szCs w:val="40"/>
        </w:rPr>
        <w:t>臺中市公共工程及公有建築工程營建剩餘土石方交換利用作業要點</w:t>
      </w:r>
    </w:p>
    <w:bookmarkEnd w:id="0"/>
    <w:p w14:paraId="5EAAA9C5" w14:textId="3DBB24AF" w:rsidR="008D2711" w:rsidRPr="008D2711" w:rsidRDefault="008D2711" w:rsidP="008D2711">
      <w:pPr>
        <w:jc w:val="right"/>
        <w:rPr>
          <w:rFonts w:ascii="標楷體" w:eastAsia="標楷體" w:hAnsi="標楷體"/>
          <w:sz w:val="20"/>
          <w:szCs w:val="20"/>
        </w:rPr>
      </w:pPr>
      <w:r w:rsidRPr="008D2711">
        <w:rPr>
          <w:rFonts w:ascii="標楷體" w:eastAsia="標楷體" w:hAnsi="標楷體" w:hint="eastAsia"/>
          <w:sz w:val="20"/>
          <w:szCs w:val="20"/>
        </w:rPr>
        <w:t>中華民國100年2月9日府授建土字第1000023482號函訂定</w:t>
      </w:r>
    </w:p>
    <w:p w14:paraId="3995A34A" w14:textId="22B51314" w:rsidR="008D2711"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一、臺中市政府（以下簡稱本府）為加強本府各公共工程及公有建築工程營建剩餘土石方（以下簡稱土石方）之交換利用，並使工程順利推動，特訂定本要點。</w:t>
      </w:r>
    </w:p>
    <w:p w14:paraId="3CA6179D" w14:textId="77777777" w:rsidR="008D2711"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二、本府及所屬機關學校（以下簡稱工程主辦機關）辦理之公共工程及公有建築工程間所產出之土石方交換利用，應依本規定辦理。但土石方屬可再利用物料，經工程主辦機關列入工程契約書之採購項目者，不在此限。</w:t>
      </w:r>
    </w:p>
    <w:p w14:paraId="78D82E9E" w14:textId="6371E437" w:rsidR="008D2711"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三、各工程主辦機關，於工程設計階段，應責成規劃設計單位設計時應符合工程挖填土石方平衡原則。土石方有供給或需求者，工程主辦機關應應至臺中市政府全球資訊網建設局網頁之表單下載－土石方申報交換資訊表單登錄工程區位，土石數量、土質及預計供、需時程等相關規劃資料。</w:t>
      </w:r>
    </w:p>
    <w:p w14:paraId="18814B67" w14:textId="77777777" w:rsidR="008D2711"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 xml:space="preserve"> 四、土石方交換作業方式如下：</w:t>
      </w:r>
    </w:p>
    <w:p w14:paraId="33366664" w14:textId="77777777" w:rsidR="008D2711" w:rsidRPr="008D2711" w:rsidRDefault="008D2711" w:rsidP="00957DDF">
      <w:pPr>
        <w:spacing w:line="460" w:lineRule="exact"/>
        <w:ind w:leftChars="179" w:left="1276" w:hangingChars="302" w:hanging="846"/>
        <w:jc w:val="both"/>
        <w:rPr>
          <w:rFonts w:ascii="標楷體" w:eastAsia="標楷體" w:hAnsi="標楷體"/>
          <w:sz w:val="28"/>
          <w:szCs w:val="28"/>
        </w:rPr>
      </w:pPr>
      <w:r w:rsidRPr="008D2711">
        <w:rPr>
          <w:rFonts w:ascii="標楷體" w:eastAsia="標楷體" w:hAnsi="標楷體" w:hint="eastAsia"/>
          <w:sz w:val="28"/>
          <w:szCs w:val="28"/>
        </w:rPr>
        <w:t>（一）土石方供、需土數量未滿三千立方公尺者，由本府建設局逕行撮合並發文核准。</w:t>
      </w:r>
    </w:p>
    <w:p w14:paraId="4902D81A" w14:textId="77777777" w:rsidR="008D2711" w:rsidRPr="008D2711" w:rsidRDefault="008D2711" w:rsidP="00957DDF">
      <w:pPr>
        <w:spacing w:line="460" w:lineRule="exact"/>
        <w:ind w:leftChars="179" w:left="1276" w:hangingChars="302" w:hanging="846"/>
        <w:jc w:val="both"/>
        <w:rPr>
          <w:rFonts w:ascii="標楷體" w:eastAsia="標楷體" w:hAnsi="標楷體"/>
          <w:sz w:val="28"/>
          <w:szCs w:val="28"/>
        </w:rPr>
      </w:pPr>
      <w:r w:rsidRPr="008D2711">
        <w:rPr>
          <w:rFonts w:ascii="標楷體" w:eastAsia="標楷體" w:hAnsi="標楷體" w:hint="eastAsia"/>
          <w:sz w:val="28"/>
          <w:szCs w:val="28"/>
        </w:rPr>
        <w:t>（二）土石方供、需土數量達三千立方公尺以上者，由本府建設局邀請供、需土單位召開供、需土方數量協調會議後，再行發文核准撮合。</w:t>
      </w:r>
    </w:p>
    <w:p w14:paraId="0D294C1E" w14:textId="77777777" w:rsidR="008D2711"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 xml:space="preserve"> 五、土石方交換協調撮合原則如下：</w:t>
      </w:r>
    </w:p>
    <w:p w14:paraId="0459D93E" w14:textId="77777777" w:rsidR="008D2711" w:rsidRPr="008D2711" w:rsidRDefault="008D2711" w:rsidP="00957DDF">
      <w:pPr>
        <w:spacing w:line="460" w:lineRule="exact"/>
        <w:ind w:leftChars="179" w:left="1276" w:hangingChars="302" w:hanging="846"/>
        <w:jc w:val="both"/>
        <w:rPr>
          <w:rFonts w:ascii="標楷體" w:eastAsia="標楷體" w:hAnsi="標楷體"/>
          <w:sz w:val="28"/>
          <w:szCs w:val="28"/>
        </w:rPr>
      </w:pPr>
      <w:r w:rsidRPr="008D2711">
        <w:rPr>
          <w:rFonts w:ascii="標楷體" w:eastAsia="標楷體" w:hAnsi="標楷體" w:hint="eastAsia"/>
          <w:sz w:val="28"/>
          <w:szCs w:val="28"/>
        </w:rPr>
        <w:t>（一）土質、預計期程相符及相互距離較近之工程優先交換。土石方工程交換不限定單一工程。</w:t>
      </w:r>
    </w:p>
    <w:p w14:paraId="05EFD7CC" w14:textId="77777777" w:rsidR="008D2711" w:rsidRPr="008D2711" w:rsidRDefault="008D2711" w:rsidP="00957DDF">
      <w:pPr>
        <w:spacing w:line="460" w:lineRule="exact"/>
        <w:ind w:leftChars="179" w:left="1276" w:hangingChars="302" w:hanging="846"/>
        <w:jc w:val="both"/>
        <w:rPr>
          <w:rFonts w:ascii="標楷體" w:eastAsia="標楷體" w:hAnsi="標楷體"/>
          <w:sz w:val="28"/>
          <w:szCs w:val="28"/>
        </w:rPr>
      </w:pPr>
      <w:r w:rsidRPr="008D2711">
        <w:rPr>
          <w:rFonts w:ascii="標楷體" w:eastAsia="標楷體" w:hAnsi="標楷體" w:hint="eastAsia"/>
          <w:sz w:val="28"/>
          <w:szCs w:val="28"/>
        </w:rPr>
        <w:t>（二）配合供土、需土雙方期程及土質，供土之工程主辦機關得於工區內規劃設置臨時性暫屯處理場所或租用合法收容處理場所，該場所之環境保護、水土保持、管理申報及相關費用，由供土工程主辦機關辦理。但必要時得協調由需土工程主辦機關辦理。</w:t>
      </w:r>
    </w:p>
    <w:p w14:paraId="5D367065" w14:textId="77777777" w:rsidR="008D2711"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 xml:space="preserve"> 六、土石方交換相關費用之負擔規定如下：</w:t>
      </w:r>
    </w:p>
    <w:p w14:paraId="0C82B0E1" w14:textId="77777777" w:rsidR="008D2711" w:rsidRPr="008D2711" w:rsidRDefault="008D2711" w:rsidP="00957DDF">
      <w:pPr>
        <w:spacing w:line="460" w:lineRule="exact"/>
        <w:ind w:leftChars="179" w:left="1276" w:hangingChars="302" w:hanging="846"/>
        <w:jc w:val="both"/>
        <w:rPr>
          <w:rFonts w:ascii="標楷體" w:eastAsia="標楷體" w:hAnsi="標楷體"/>
          <w:sz w:val="28"/>
          <w:szCs w:val="28"/>
        </w:rPr>
      </w:pPr>
      <w:r w:rsidRPr="008D2711">
        <w:rPr>
          <w:rFonts w:ascii="標楷體" w:eastAsia="標楷體" w:hAnsi="標楷體" w:hint="eastAsia"/>
          <w:sz w:val="28"/>
          <w:szCs w:val="28"/>
        </w:rPr>
        <w:lastRenderedPageBreak/>
        <w:t>（一）土石方產出費用及至需土工程地點之運輸費用由供土工程主辦機關負擔。</w:t>
      </w:r>
    </w:p>
    <w:p w14:paraId="0CC86795" w14:textId="77777777" w:rsidR="008D2711" w:rsidRPr="008D2711" w:rsidRDefault="008D2711" w:rsidP="00957DDF">
      <w:pPr>
        <w:spacing w:line="460" w:lineRule="exact"/>
        <w:ind w:leftChars="179" w:left="1276" w:hangingChars="302" w:hanging="846"/>
        <w:jc w:val="both"/>
        <w:rPr>
          <w:rFonts w:ascii="標楷體" w:eastAsia="標楷體" w:hAnsi="標楷體"/>
          <w:sz w:val="28"/>
          <w:szCs w:val="28"/>
        </w:rPr>
      </w:pPr>
      <w:r w:rsidRPr="008D2711">
        <w:rPr>
          <w:rFonts w:ascii="標楷體" w:eastAsia="標楷體" w:hAnsi="標楷體" w:hint="eastAsia"/>
          <w:sz w:val="28"/>
          <w:szCs w:val="28"/>
        </w:rPr>
        <w:t>（二）土石方進入需土工程工區範圍後之堆置及施工利用相關費用，由需土工程主辦機關負擔。</w:t>
      </w:r>
    </w:p>
    <w:p w14:paraId="7F3A694F" w14:textId="77777777" w:rsidR="008D2711" w:rsidRPr="008D2711" w:rsidRDefault="008D2711" w:rsidP="00957DDF">
      <w:pPr>
        <w:spacing w:line="460" w:lineRule="exact"/>
        <w:ind w:leftChars="295" w:left="708" w:firstLine="1"/>
        <w:jc w:val="both"/>
        <w:rPr>
          <w:rFonts w:ascii="標楷體" w:eastAsia="標楷體" w:hAnsi="標楷體"/>
          <w:sz w:val="28"/>
          <w:szCs w:val="28"/>
        </w:rPr>
      </w:pPr>
      <w:r w:rsidRPr="008D2711">
        <w:rPr>
          <w:rFonts w:ascii="標楷體" w:eastAsia="標楷體" w:hAnsi="標楷體" w:hint="eastAsia"/>
          <w:sz w:val="28"/>
          <w:szCs w:val="28"/>
        </w:rPr>
        <w:t>前項負擔雙方有爭議時，得自行協議，協議不成時得報本府建設局協調。</w:t>
      </w:r>
    </w:p>
    <w:p w14:paraId="0732927D" w14:textId="6F5B7D34" w:rsidR="002A0D3A" w:rsidRPr="008D2711" w:rsidRDefault="008D2711" w:rsidP="00957DDF">
      <w:pPr>
        <w:spacing w:line="460" w:lineRule="exact"/>
        <w:ind w:left="566" w:hangingChars="202" w:hanging="566"/>
        <w:jc w:val="both"/>
        <w:rPr>
          <w:rFonts w:ascii="標楷體" w:eastAsia="標楷體" w:hAnsi="標楷體"/>
          <w:sz w:val="28"/>
          <w:szCs w:val="28"/>
        </w:rPr>
      </w:pPr>
      <w:r w:rsidRPr="008D2711">
        <w:rPr>
          <w:rFonts w:ascii="標楷體" w:eastAsia="標楷體" w:hAnsi="標楷體" w:hint="eastAsia"/>
          <w:sz w:val="28"/>
          <w:szCs w:val="28"/>
        </w:rPr>
        <w:t>七、其他政府機關學校核准由民間投資興辦或參與投資之工程、統包工程，且委託本府辦理土石方交換利用作業者，得準用本要點。</w:t>
      </w:r>
    </w:p>
    <w:sectPr w:rsidR="002A0D3A" w:rsidRPr="008D2711" w:rsidSect="008D271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F418F" w14:textId="77777777" w:rsidR="00E67D83" w:rsidRDefault="00E67D83" w:rsidP="008D2711">
      <w:r>
        <w:separator/>
      </w:r>
    </w:p>
  </w:endnote>
  <w:endnote w:type="continuationSeparator" w:id="0">
    <w:p w14:paraId="3AC957FD" w14:textId="77777777" w:rsidR="00E67D83" w:rsidRDefault="00E67D83" w:rsidP="008D2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CC06A" w14:textId="77777777" w:rsidR="00E67D83" w:rsidRDefault="00E67D83" w:rsidP="008D2711">
      <w:r>
        <w:separator/>
      </w:r>
    </w:p>
  </w:footnote>
  <w:footnote w:type="continuationSeparator" w:id="0">
    <w:p w14:paraId="52EB29A8" w14:textId="77777777" w:rsidR="00E67D83" w:rsidRDefault="00E67D83" w:rsidP="008D27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D3A"/>
    <w:rsid w:val="002A0D3A"/>
    <w:rsid w:val="00381620"/>
    <w:rsid w:val="008D2711"/>
    <w:rsid w:val="00957DDF"/>
    <w:rsid w:val="00E67D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2640D"/>
  <w15:chartTrackingRefBased/>
  <w15:docId w15:val="{194C3E04-3B61-4227-A361-5F3CE9454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2711"/>
    <w:pPr>
      <w:tabs>
        <w:tab w:val="center" w:pos="4153"/>
        <w:tab w:val="right" w:pos="8306"/>
      </w:tabs>
      <w:snapToGrid w:val="0"/>
    </w:pPr>
    <w:rPr>
      <w:sz w:val="20"/>
      <w:szCs w:val="20"/>
    </w:rPr>
  </w:style>
  <w:style w:type="character" w:customStyle="1" w:styleId="a4">
    <w:name w:val="頁首 字元"/>
    <w:basedOn w:val="a0"/>
    <w:link w:val="a3"/>
    <w:uiPriority w:val="99"/>
    <w:rsid w:val="008D2711"/>
    <w:rPr>
      <w:sz w:val="20"/>
      <w:szCs w:val="20"/>
    </w:rPr>
  </w:style>
  <w:style w:type="paragraph" w:styleId="a5">
    <w:name w:val="footer"/>
    <w:basedOn w:val="a"/>
    <w:link w:val="a6"/>
    <w:uiPriority w:val="99"/>
    <w:unhideWhenUsed/>
    <w:rsid w:val="008D2711"/>
    <w:pPr>
      <w:tabs>
        <w:tab w:val="center" w:pos="4153"/>
        <w:tab w:val="right" w:pos="8306"/>
      </w:tabs>
      <w:snapToGrid w:val="0"/>
    </w:pPr>
    <w:rPr>
      <w:sz w:val="20"/>
      <w:szCs w:val="20"/>
    </w:rPr>
  </w:style>
  <w:style w:type="character" w:customStyle="1" w:styleId="a6">
    <w:name w:val="頁尾 字元"/>
    <w:basedOn w:val="a0"/>
    <w:link w:val="a5"/>
    <w:uiPriority w:val="99"/>
    <w:rsid w:val="008D271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吳珈維</dc:creator>
  <cp:keywords/>
  <dc:description/>
  <cp:lastModifiedBy>李佳欣</cp:lastModifiedBy>
  <cp:revision>2</cp:revision>
  <dcterms:created xsi:type="dcterms:W3CDTF">2019-10-03T06:26:00Z</dcterms:created>
  <dcterms:modified xsi:type="dcterms:W3CDTF">2019-10-03T06:26:00Z</dcterms:modified>
</cp:coreProperties>
</file>