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6F9E" w:rsidRDefault="00B2736F">
      <w:pPr>
        <w:widowControl/>
        <w:jc w:val="both"/>
      </w:pPr>
      <w:bookmarkStart w:id="0" w:name="_GoBack"/>
      <w:r>
        <w:rPr>
          <w:rFonts w:ascii="Times New Roman" w:eastAsia="標楷體" w:hAnsi="Times New Roman"/>
          <w:bCs/>
          <w:sz w:val="40"/>
          <w:szCs w:val="40"/>
        </w:rPr>
        <w:t>臺中市都市計畫審議收費標準草案總說明</w:t>
      </w:r>
    </w:p>
    <w:bookmarkEnd w:id="0"/>
    <w:p w:rsidR="00936F9E" w:rsidRDefault="00B2736F">
      <w:pPr>
        <w:widowControl/>
        <w:spacing w:line="460" w:lineRule="exact"/>
        <w:ind w:firstLine="560"/>
        <w:jc w:val="both"/>
        <w:rPr>
          <w:rFonts w:ascii="Times New Roman" w:eastAsia="標楷體" w:hAnsi="Times New Roman"/>
          <w:sz w:val="28"/>
          <w:szCs w:val="28"/>
        </w:rPr>
      </w:pPr>
      <w:r>
        <w:rPr>
          <w:rFonts w:ascii="Times New Roman" w:eastAsia="標楷體" w:hAnsi="Times New Roman"/>
          <w:sz w:val="28"/>
          <w:szCs w:val="28"/>
        </w:rPr>
        <w:t>臺中市政府為辦理臺中市都市計畫之個案變更、自行擬定或變更細部計畫之審議作業，考量行政作業成本，並本於使用者、受益者付費原則，爰依規費法第十條第一項規定，訂定「臺中市都市計畫審議收費標準」，以作為臺中市都市計畫審議作業收費之執行依據，草案共計四條，其要點如下：</w:t>
      </w:r>
      <w:r>
        <w:rPr>
          <w:rFonts w:ascii="Times New Roman" w:eastAsia="標楷體" w:hAnsi="Times New Roman"/>
          <w:sz w:val="28"/>
          <w:szCs w:val="28"/>
        </w:rPr>
        <w:t xml:space="preserve"> </w:t>
      </w:r>
    </w:p>
    <w:p w:rsidR="00936F9E" w:rsidRDefault="00B2736F">
      <w:pPr>
        <w:pStyle w:val="a3"/>
        <w:widowControl/>
        <w:numPr>
          <w:ilvl w:val="0"/>
          <w:numId w:val="1"/>
        </w:numPr>
        <w:spacing w:line="460" w:lineRule="exact"/>
        <w:ind w:left="567" w:hanging="567"/>
        <w:jc w:val="both"/>
        <w:rPr>
          <w:dstrike w:val="0"/>
          <w:sz w:val="28"/>
          <w:szCs w:val="28"/>
        </w:rPr>
      </w:pPr>
      <w:r>
        <w:rPr>
          <w:dstrike w:val="0"/>
          <w:sz w:val="28"/>
          <w:szCs w:val="28"/>
        </w:rPr>
        <w:t>訂定依據。（草案第一條）</w:t>
      </w:r>
    </w:p>
    <w:p w:rsidR="00936F9E" w:rsidRDefault="00B2736F">
      <w:pPr>
        <w:pStyle w:val="a3"/>
        <w:widowControl/>
        <w:numPr>
          <w:ilvl w:val="0"/>
          <w:numId w:val="1"/>
        </w:numPr>
        <w:spacing w:line="460" w:lineRule="exact"/>
        <w:ind w:left="567" w:hanging="567"/>
        <w:jc w:val="both"/>
        <w:rPr>
          <w:dstrike w:val="0"/>
          <w:sz w:val="28"/>
          <w:szCs w:val="28"/>
        </w:rPr>
      </w:pPr>
      <w:r>
        <w:rPr>
          <w:dstrike w:val="0"/>
          <w:sz w:val="28"/>
          <w:szCs w:val="28"/>
        </w:rPr>
        <w:t>本標準適用範圍及收費標準。（草案第二條）</w:t>
      </w:r>
    </w:p>
    <w:p w:rsidR="00936F9E" w:rsidRDefault="00B2736F">
      <w:pPr>
        <w:pStyle w:val="a3"/>
        <w:widowControl/>
        <w:numPr>
          <w:ilvl w:val="0"/>
          <w:numId w:val="1"/>
        </w:numPr>
        <w:spacing w:line="460" w:lineRule="exact"/>
        <w:ind w:left="567" w:hanging="567"/>
        <w:jc w:val="both"/>
      </w:pPr>
      <w:r>
        <w:rPr>
          <w:rFonts w:ascii="標楷體" w:hAnsi="標楷體"/>
          <w:dstrike w:val="0"/>
          <w:szCs w:val="24"/>
        </w:rPr>
        <w:t>本標準免收審議費之範圍</w:t>
      </w:r>
      <w:r>
        <w:rPr>
          <w:dstrike w:val="0"/>
          <w:sz w:val="28"/>
          <w:szCs w:val="28"/>
        </w:rPr>
        <w:t>。（草案第三條）</w:t>
      </w:r>
    </w:p>
    <w:p w:rsidR="00936F9E" w:rsidRDefault="00B2736F">
      <w:pPr>
        <w:pStyle w:val="a3"/>
        <w:widowControl/>
        <w:numPr>
          <w:ilvl w:val="0"/>
          <w:numId w:val="1"/>
        </w:numPr>
        <w:spacing w:line="460" w:lineRule="exact"/>
        <w:ind w:left="567" w:hanging="567"/>
        <w:jc w:val="both"/>
        <w:rPr>
          <w:dstrike w:val="0"/>
          <w:sz w:val="28"/>
          <w:szCs w:val="28"/>
        </w:rPr>
      </w:pPr>
      <w:r>
        <w:rPr>
          <w:dstrike w:val="0"/>
          <w:sz w:val="28"/>
          <w:szCs w:val="28"/>
        </w:rPr>
        <w:t>本標準施行日期</w:t>
      </w:r>
      <w:r>
        <w:rPr>
          <w:dstrike w:val="0"/>
          <w:sz w:val="28"/>
          <w:szCs w:val="28"/>
        </w:rPr>
        <w:t xml:space="preserve"> </w:t>
      </w:r>
      <w:r>
        <w:rPr>
          <w:dstrike w:val="0"/>
          <w:sz w:val="28"/>
          <w:szCs w:val="28"/>
        </w:rPr>
        <w:t>（草案第四條）</w:t>
      </w:r>
    </w:p>
    <w:p w:rsidR="00936F9E" w:rsidRDefault="00B2736F">
      <w:pPr>
        <w:pageBreakBefore/>
        <w:widowControl/>
        <w:jc w:val="both"/>
      </w:pPr>
      <w:r>
        <w:rPr>
          <w:rFonts w:ascii="Times New Roman" w:eastAsia="標楷體" w:hAnsi="Times New Roman"/>
          <w:bCs/>
          <w:sz w:val="40"/>
          <w:szCs w:val="40"/>
        </w:rPr>
        <w:lastRenderedPageBreak/>
        <w:t>臺中市都市計畫審議收費標準草案</w:t>
      </w:r>
    </w:p>
    <w:tbl>
      <w:tblPr>
        <w:tblW w:w="5000" w:type="pct"/>
        <w:tblCellMar>
          <w:left w:w="10" w:type="dxa"/>
          <w:right w:w="10" w:type="dxa"/>
        </w:tblCellMar>
        <w:tblLook w:val="04A0" w:firstRow="1" w:lastRow="0" w:firstColumn="1" w:lastColumn="0" w:noHBand="0" w:noVBand="1"/>
      </w:tblPr>
      <w:tblGrid>
        <w:gridCol w:w="4109"/>
        <w:gridCol w:w="4668"/>
      </w:tblGrid>
      <w:tr w:rsidR="00936F9E">
        <w:tblPrEx>
          <w:tblCellMar>
            <w:top w:w="0" w:type="dxa"/>
            <w:bottom w:w="0" w:type="dxa"/>
          </w:tblCellMar>
        </w:tblPrEx>
        <w:tc>
          <w:tcPr>
            <w:tcW w:w="41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36F9E" w:rsidRDefault="00B2736F">
            <w:pPr>
              <w:widowControl/>
              <w:jc w:val="center"/>
              <w:rPr>
                <w:rFonts w:ascii="Times New Roman" w:eastAsia="標楷體" w:hAnsi="Times New Roman"/>
                <w:color w:val="000000"/>
                <w:szCs w:val="24"/>
              </w:rPr>
            </w:pPr>
            <w:r>
              <w:rPr>
                <w:rFonts w:ascii="Times New Roman" w:eastAsia="標楷體" w:hAnsi="Times New Roman"/>
                <w:color w:val="000000"/>
                <w:szCs w:val="24"/>
              </w:rPr>
              <w:t>名稱</w:t>
            </w:r>
          </w:p>
        </w:tc>
        <w:tc>
          <w:tcPr>
            <w:tcW w:w="46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36F9E" w:rsidRDefault="00B2736F">
            <w:pPr>
              <w:widowControl/>
              <w:jc w:val="center"/>
              <w:rPr>
                <w:rFonts w:ascii="Times New Roman" w:eastAsia="標楷體" w:hAnsi="Times New Roman"/>
                <w:color w:val="000000"/>
                <w:szCs w:val="24"/>
              </w:rPr>
            </w:pPr>
            <w:r>
              <w:rPr>
                <w:rFonts w:ascii="Times New Roman" w:eastAsia="標楷體" w:hAnsi="Times New Roman"/>
                <w:color w:val="000000"/>
                <w:szCs w:val="24"/>
              </w:rPr>
              <w:t>說明</w:t>
            </w:r>
          </w:p>
        </w:tc>
      </w:tr>
      <w:tr w:rsidR="00936F9E">
        <w:tblPrEx>
          <w:tblCellMar>
            <w:top w:w="0" w:type="dxa"/>
            <w:bottom w:w="0" w:type="dxa"/>
          </w:tblCellMar>
        </w:tblPrEx>
        <w:tc>
          <w:tcPr>
            <w:tcW w:w="41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36F9E" w:rsidRDefault="00B2736F">
            <w:pPr>
              <w:widowControl/>
              <w:jc w:val="both"/>
              <w:rPr>
                <w:rFonts w:ascii="Times New Roman" w:eastAsia="標楷體" w:hAnsi="Times New Roman"/>
                <w:color w:val="000000"/>
                <w:szCs w:val="24"/>
              </w:rPr>
            </w:pPr>
            <w:r>
              <w:rPr>
                <w:rFonts w:ascii="Times New Roman" w:eastAsia="標楷體" w:hAnsi="Times New Roman"/>
                <w:color w:val="000000"/>
                <w:szCs w:val="24"/>
              </w:rPr>
              <w:t>臺中市都市計畫審議收費標準</w:t>
            </w:r>
          </w:p>
        </w:tc>
        <w:tc>
          <w:tcPr>
            <w:tcW w:w="46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36F9E" w:rsidRDefault="00B2736F">
            <w:pPr>
              <w:widowControl/>
              <w:jc w:val="both"/>
              <w:rPr>
                <w:rFonts w:ascii="Times New Roman" w:eastAsia="標楷體" w:hAnsi="Times New Roman"/>
                <w:color w:val="000000"/>
                <w:szCs w:val="24"/>
              </w:rPr>
            </w:pPr>
            <w:r>
              <w:rPr>
                <w:rFonts w:ascii="Times New Roman" w:eastAsia="標楷體" w:hAnsi="Times New Roman"/>
                <w:color w:val="000000"/>
                <w:szCs w:val="24"/>
              </w:rPr>
              <w:t>本自治規則名稱。</w:t>
            </w:r>
          </w:p>
        </w:tc>
      </w:tr>
      <w:tr w:rsidR="00936F9E">
        <w:tblPrEx>
          <w:tblCellMar>
            <w:top w:w="0" w:type="dxa"/>
            <w:bottom w:w="0" w:type="dxa"/>
          </w:tblCellMar>
        </w:tblPrEx>
        <w:tc>
          <w:tcPr>
            <w:tcW w:w="41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36F9E" w:rsidRDefault="00B2736F">
            <w:pPr>
              <w:widowControl/>
              <w:jc w:val="center"/>
              <w:rPr>
                <w:rFonts w:ascii="Times New Roman" w:eastAsia="標楷體" w:hAnsi="Times New Roman"/>
                <w:color w:val="000000"/>
                <w:szCs w:val="24"/>
              </w:rPr>
            </w:pPr>
            <w:r>
              <w:rPr>
                <w:rFonts w:ascii="Times New Roman" w:eastAsia="標楷體" w:hAnsi="Times New Roman"/>
                <w:color w:val="000000"/>
                <w:szCs w:val="24"/>
              </w:rPr>
              <w:t>條文</w:t>
            </w:r>
          </w:p>
        </w:tc>
        <w:tc>
          <w:tcPr>
            <w:tcW w:w="46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36F9E" w:rsidRDefault="00B2736F">
            <w:pPr>
              <w:widowControl/>
              <w:jc w:val="center"/>
              <w:rPr>
                <w:rFonts w:ascii="Times New Roman" w:eastAsia="標楷體" w:hAnsi="Times New Roman"/>
                <w:color w:val="000000"/>
                <w:szCs w:val="24"/>
              </w:rPr>
            </w:pPr>
            <w:r>
              <w:rPr>
                <w:rFonts w:ascii="Times New Roman" w:eastAsia="標楷體" w:hAnsi="Times New Roman"/>
                <w:color w:val="000000"/>
                <w:szCs w:val="24"/>
              </w:rPr>
              <w:t>說明</w:t>
            </w:r>
          </w:p>
        </w:tc>
      </w:tr>
      <w:tr w:rsidR="00936F9E">
        <w:tblPrEx>
          <w:tblCellMar>
            <w:top w:w="0" w:type="dxa"/>
            <w:bottom w:w="0" w:type="dxa"/>
          </w:tblCellMar>
        </w:tblPrEx>
        <w:tc>
          <w:tcPr>
            <w:tcW w:w="41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36F9E" w:rsidRDefault="00B2736F">
            <w:pPr>
              <w:widowControl/>
              <w:ind w:left="240" w:hanging="240"/>
              <w:jc w:val="both"/>
              <w:rPr>
                <w:rFonts w:ascii="Times New Roman" w:eastAsia="標楷體" w:hAnsi="Times New Roman"/>
                <w:color w:val="000000"/>
                <w:szCs w:val="24"/>
              </w:rPr>
            </w:pPr>
            <w:r>
              <w:rPr>
                <w:rFonts w:ascii="Times New Roman" w:eastAsia="標楷體" w:hAnsi="Times New Roman"/>
                <w:color w:val="000000"/>
                <w:szCs w:val="24"/>
              </w:rPr>
              <w:t>第一條　本標準依規費法第十條第一項規定訂定之。</w:t>
            </w:r>
          </w:p>
        </w:tc>
        <w:tc>
          <w:tcPr>
            <w:tcW w:w="46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36F9E" w:rsidRDefault="00B2736F">
            <w:pPr>
              <w:pStyle w:val="a3"/>
              <w:widowControl/>
              <w:numPr>
                <w:ilvl w:val="0"/>
                <w:numId w:val="2"/>
              </w:numPr>
              <w:snapToGrid w:val="0"/>
              <w:ind w:left="541" w:hanging="540"/>
              <w:jc w:val="both"/>
              <w:rPr>
                <w:rFonts w:ascii="標楷體" w:hAnsi="標楷體"/>
                <w:dstrike w:val="0"/>
                <w:color w:val="000000"/>
                <w:sz w:val="24"/>
                <w:szCs w:val="24"/>
              </w:rPr>
            </w:pPr>
            <w:r>
              <w:rPr>
                <w:rFonts w:ascii="標楷體" w:hAnsi="標楷體"/>
                <w:dstrike w:val="0"/>
                <w:color w:val="000000"/>
                <w:sz w:val="24"/>
                <w:szCs w:val="24"/>
              </w:rPr>
              <w:t>本標準訂定依據。</w:t>
            </w:r>
          </w:p>
          <w:p w:rsidR="00936F9E" w:rsidRDefault="00B2736F">
            <w:pPr>
              <w:pStyle w:val="a3"/>
              <w:widowControl/>
              <w:numPr>
                <w:ilvl w:val="0"/>
                <w:numId w:val="2"/>
              </w:numPr>
              <w:snapToGrid w:val="0"/>
              <w:ind w:left="541" w:hanging="540"/>
              <w:jc w:val="both"/>
              <w:rPr>
                <w:rFonts w:ascii="標楷體" w:hAnsi="標楷體"/>
                <w:dstrike w:val="0"/>
                <w:color w:val="000000"/>
                <w:sz w:val="24"/>
                <w:szCs w:val="24"/>
              </w:rPr>
            </w:pPr>
            <w:r>
              <w:rPr>
                <w:rFonts w:ascii="標楷體" w:hAnsi="標楷體"/>
                <w:dstrike w:val="0"/>
                <w:color w:val="000000"/>
                <w:sz w:val="24"/>
                <w:szCs w:val="24"/>
              </w:rPr>
              <w:t>規費法第十條規定：「業務主管機關應依下列原則，訂定或調整收費基準，</w:t>
            </w:r>
            <w:r>
              <w:rPr>
                <w:rFonts w:ascii="標楷體" w:hAnsi="標楷體"/>
                <w:dstrike w:val="0"/>
                <w:color w:val="000000"/>
                <w:sz w:val="24"/>
                <w:szCs w:val="24"/>
              </w:rPr>
              <w:t>……</w:t>
            </w:r>
            <w:r>
              <w:rPr>
                <w:rFonts w:ascii="標楷體" w:hAnsi="標楷體"/>
                <w:dstrike w:val="0"/>
                <w:color w:val="000000"/>
                <w:sz w:val="24"/>
                <w:szCs w:val="24"/>
              </w:rPr>
              <w:t>：一、行政規費：依直接材</w:t>
            </w:r>
            <w:r>
              <w:rPr>
                <w:rFonts w:ascii="標楷體" w:hAnsi="標楷體"/>
                <w:dstrike w:val="0"/>
                <w:color w:val="000000"/>
                <w:sz w:val="24"/>
                <w:szCs w:val="24"/>
              </w:rPr>
              <w:t xml:space="preserve"> (</w:t>
            </w:r>
            <w:r>
              <w:rPr>
                <w:rFonts w:ascii="標楷體" w:hAnsi="標楷體"/>
                <w:dstrike w:val="0"/>
                <w:color w:val="000000"/>
                <w:sz w:val="24"/>
                <w:szCs w:val="24"/>
              </w:rPr>
              <w:t>物</w:t>
            </w:r>
            <w:r>
              <w:rPr>
                <w:rFonts w:ascii="標楷體" w:hAnsi="標楷體"/>
                <w:dstrike w:val="0"/>
                <w:color w:val="000000"/>
                <w:sz w:val="24"/>
                <w:szCs w:val="24"/>
              </w:rPr>
              <w:t xml:space="preserve">) </w:t>
            </w:r>
            <w:r>
              <w:rPr>
                <w:rFonts w:ascii="標楷體" w:hAnsi="標楷體"/>
                <w:dstrike w:val="0"/>
                <w:color w:val="000000"/>
                <w:sz w:val="24"/>
                <w:szCs w:val="24"/>
              </w:rPr>
              <w:t>料、人工及其他成本，並審酌間接費用定之。</w:t>
            </w:r>
            <w:r>
              <w:rPr>
                <w:rFonts w:ascii="標楷體" w:hAnsi="標楷體"/>
                <w:dstrike w:val="0"/>
                <w:color w:val="000000"/>
                <w:sz w:val="24"/>
                <w:szCs w:val="24"/>
              </w:rPr>
              <w:t>……</w:t>
            </w:r>
            <w:r>
              <w:rPr>
                <w:rFonts w:ascii="標楷體" w:hAnsi="標楷體"/>
                <w:dstrike w:val="0"/>
                <w:color w:val="000000"/>
                <w:sz w:val="24"/>
                <w:szCs w:val="24"/>
              </w:rPr>
              <w:t>。」</w:t>
            </w:r>
          </w:p>
        </w:tc>
      </w:tr>
      <w:tr w:rsidR="00936F9E">
        <w:tblPrEx>
          <w:tblCellMar>
            <w:top w:w="0" w:type="dxa"/>
            <w:bottom w:w="0" w:type="dxa"/>
          </w:tblCellMar>
        </w:tblPrEx>
        <w:tc>
          <w:tcPr>
            <w:tcW w:w="41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36F9E" w:rsidRDefault="00B2736F">
            <w:pPr>
              <w:widowControl/>
              <w:ind w:left="240" w:hanging="240"/>
              <w:jc w:val="both"/>
            </w:pPr>
            <w:r>
              <w:rPr>
                <w:rFonts w:ascii="Times New Roman" w:eastAsia="標楷體" w:hAnsi="Times New Roman"/>
                <w:color w:val="000000"/>
                <w:szCs w:val="24"/>
              </w:rPr>
              <w:t>第二條　依都市計畫法第二十七條申請都市計畫個案變更或依都市計畫法第二十四條自行擬定</w:t>
            </w:r>
            <w:r>
              <w:rPr>
                <w:rFonts w:ascii="新細明體" w:hAnsi="新細明體"/>
                <w:color w:val="000000"/>
                <w:szCs w:val="24"/>
              </w:rPr>
              <w:t>、</w:t>
            </w:r>
            <w:r>
              <w:rPr>
                <w:rFonts w:ascii="Times New Roman" w:eastAsia="標楷體" w:hAnsi="Times New Roman"/>
                <w:color w:val="000000"/>
                <w:szCs w:val="24"/>
              </w:rPr>
              <w:t>變更細部計畫者</w:t>
            </w:r>
            <w:r>
              <w:rPr>
                <w:rFonts w:ascii="標楷體" w:eastAsia="標楷體" w:hAnsi="標楷體"/>
                <w:color w:val="000000"/>
                <w:szCs w:val="24"/>
              </w:rPr>
              <w:t>，應依下列規定收取規費：</w:t>
            </w:r>
          </w:p>
          <w:p w:rsidR="00936F9E" w:rsidRDefault="00B2736F">
            <w:pPr>
              <w:pStyle w:val="a3"/>
              <w:widowControl/>
              <w:numPr>
                <w:ilvl w:val="0"/>
                <w:numId w:val="3"/>
              </w:numPr>
              <w:jc w:val="both"/>
              <w:rPr>
                <w:dstrike w:val="0"/>
                <w:color w:val="000000"/>
                <w:sz w:val="24"/>
                <w:szCs w:val="24"/>
              </w:rPr>
            </w:pPr>
            <w:r>
              <w:rPr>
                <w:dstrike w:val="0"/>
                <w:color w:val="000000"/>
                <w:sz w:val="24"/>
                <w:szCs w:val="24"/>
              </w:rPr>
              <w:t>每案基本審議費為新臺幣十萬元，於都市計畫公開展覽前繳納完畢。</w:t>
            </w:r>
          </w:p>
          <w:p w:rsidR="00936F9E" w:rsidRDefault="00B2736F">
            <w:pPr>
              <w:pStyle w:val="a3"/>
              <w:widowControl/>
              <w:numPr>
                <w:ilvl w:val="0"/>
                <w:numId w:val="3"/>
              </w:numPr>
              <w:jc w:val="both"/>
              <w:rPr>
                <w:dstrike w:val="0"/>
                <w:color w:val="000000"/>
                <w:sz w:val="24"/>
                <w:szCs w:val="24"/>
              </w:rPr>
            </w:pPr>
            <w:r>
              <w:rPr>
                <w:dstrike w:val="0"/>
                <w:color w:val="000000"/>
                <w:sz w:val="24"/>
                <w:szCs w:val="24"/>
              </w:rPr>
              <w:t>同一案件經專案小組審議三次後，按超過次數每次加計新臺幣二萬元，於公告實施前繳納完畢。</w:t>
            </w:r>
          </w:p>
          <w:p w:rsidR="00936F9E" w:rsidRDefault="00B2736F">
            <w:pPr>
              <w:widowControl/>
              <w:ind w:left="240" w:hanging="240"/>
              <w:jc w:val="both"/>
            </w:pPr>
            <w:r>
              <w:rPr>
                <w:rFonts w:ascii="Times New Roman" w:eastAsia="標楷體" w:hAnsi="Times New Roman"/>
                <w:color w:val="000000"/>
                <w:szCs w:val="24"/>
              </w:rPr>
              <w:t xml:space="preserve">　　　前項審議費，應以書面通知申請人限期繳納</w:t>
            </w:r>
            <w:r>
              <w:rPr>
                <w:rFonts w:ascii="標楷體" w:eastAsia="標楷體" w:hAnsi="標楷體"/>
                <w:color w:val="000000"/>
                <w:szCs w:val="24"/>
              </w:rPr>
              <w:t>；</w:t>
            </w:r>
            <w:r>
              <w:rPr>
                <w:rFonts w:ascii="Times New Roman" w:eastAsia="標楷體" w:hAnsi="Times New Roman"/>
                <w:color w:val="000000"/>
                <w:szCs w:val="24"/>
              </w:rPr>
              <w:t>屆期未繳納者，駁回其申請案並退回相關申請資料。</w:t>
            </w:r>
          </w:p>
        </w:tc>
        <w:tc>
          <w:tcPr>
            <w:tcW w:w="46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36F9E" w:rsidRDefault="00B2736F">
            <w:pPr>
              <w:pStyle w:val="a3"/>
              <w:widowControl/>
              <w:ind w:left="240" w:hanging="240"/>
              <w:jc w:val="both"/>
              <w:rPr>
                <w:dstrike w:val="0"/>
                <w:color w:val="000000"/>
                <w:sz w:val="24"/>
                <w:szCs w:val="24"/>
              </w:rPr>
            </w:pPr>
            <w:r>
              <w:rPr>
                <w:dstrike w:val="0"/>
                <w:color w:val="000000"/>
                <w:sz w:val="24"/>
                <w:szCs w:val="24"/>
              </w:rPr>
              <w:t>明定本標準之適用範圍及收費標準。</w:t>
            </w:r>
          </w:p>
        </w:tc>
      </w:tr>
      <w:tr w:rsidR="00936F9E">
        <w:tblPrEx>
          <w:tblCellMar>
            <w:top w:w="0" w:type="dxa"/>
            <w:bottom w:w="0" w:type="dxa"/>
          </w:tblCellMar>
        </w:tblPrEx>
        <w:tc>
          <w:tcPr>
            <w:tcW w:w="41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36F9E" w:rsidRDefault="00B2736F">
            <w:pPr>
              <w:widowControl/>
              <w:ind w:left="283" w:hanging="283"/>
              <w:jc w:val="both"/>
              <w:rPr>
                <w:rFonts w:ascii="Times New Roman" w:eastAsia="標楷體" w:hAnsi="Times New Roman"/>
                <w:color w:val="000000"/>
                <w:szCs w:val="24"/>
              </w:rPr>
            </w:pPr>
            <w:r>
              <w:rPr>
                <w:rFonts w:ascii="Times New Roman" w:eastAsia="標楷體" w:hAnsi="Times New Roman"/>
                <w:color w:val="000000"/>
                <w:szCs w:val="24"/>
              </w:rPr>
              <w:t>第三條　有下列情形之一者，得免收審議費：</w:t>
            </w:r>
          </w:p>
          <w:p w:rsidR="00936F9E" w:rsidRDefault="00B2736F">
            <w:pPr>
              <w:pStyle w:val="a3"/>
              <w:widowControl/>
              <w:numPr>
                <w:ilvl w:val="0"/>
                <w:numId w:val="4"/>
              </w:numPr>
              <w:jc w:val="both"/>
            </w:pPr>
            <w:r>
              <w:rPr>
                <w:rFonts w:ascii="標楷體" w:hAnsi="標楷體"/>
                <w:dstrike w:val="0"/>
                <w:color w:val="000000"/>
                <w:sz w:val="24"/>
              </w:rPr>
              <w:t>都市計畫法第二十七條第一項第一款或第二款規定迅行變更。</w:t>
            </w:r>
          </w:p>
          <w:p w:rsidR="00936F9E" w:rsidRDefault="00B2736F">
            <w:pPr>
              <w:pStyle w:val="a3"/>
              <w:widowControl/>
              <w:numPr>
                <w:ilvl w:val="0"/>
                <w:numId w:val="4"/>
              </w:numPr>
              <w:jc w:val="both"/>
            </w:pPr>
            <w:r>
              <w:rPr>
                <w:rFonts w:ascii="標楷體" w:hAnsi="標楷體"/>
                <w:dstrike w:val="0"/>
                <w:color w:val="000000"/>
                <w:sz w:val="24"/>
              </w:rPr>
              <w:t>因不可歸責申請人事由，致地籍測量結果與原許可計畫面積、位置不符，申請變更都市計畫。</w:t>
            </w:r>
          </w:p>
          <w:p w:rsidR="00936F9E" w:rsidRDefault="00B2736F">
            <w:pPr>
              <w:pStyle w:val="a3"/>
              <w:widowControl/>
              <w:numPr>
                <w:ilvl w:val="0"/>
                <w:numId w:val="4"/>
              </w:numPr>
              <w:jc w:val="both"/>
            </w:pPr>
            <w:r>
              <w:rPr>
                <w:rFonts w:ascii="標楷體" w:hAnsi="標楷體"/>
                <w:dstrike w:val="0"/>
                <w:color w:val="000000"/>
                <w:sz w:val="24"/>
              </w:rPr>
              <w:t>屬政府興辦之公共工程或建設計畫，申請變更都市計畫。</w:t>
            </w:r>
          </w:p>
        </w:tc>
        <w:tc>
          <w:tcPr>
            <w:tcW w:w="46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36F9E" w:rsidRDefault="00B2736F">
            <w:pPr>
              <w:widowControl/>
              <w:jc w:val="both"/>
            </w:pPr>
            <w:r>
              <w:rPr>
                <w:rFonts w:ascii="標楷體" w:eastAsia="標楷體" w:hAnsi="標楷體"/>
                <w:color w:val="000000"/>
                <w:szCs w:val="24"/>
              </w:rPr>
              <w:t>明定本標準免收審議費之範圍。</w:t>
            </w:r>
          </w:p>
        </w:tc>
      </w:tr>
      <w:tr w:rsidR="00936F9E">
        <w:tblPrEx>
          <w:tblCellMar>
            <w:top w:w="0" w:type="dxa"/>
            <w:bottom w:w="0" w:type="dxa"/>
          </w:tblCellMar>
        </w:tblPrEx>
        <w:tc>
          <w:tcPr>
            <w:tcW w:w="41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36F9E" w:rsidRDefault="00B2736F">
            <w:pPr>
              <w:widowControl/>
              <w:ind w:left="240" w:hanging="240"/>
              <w:jc w:val="both"/>
              <w:rPr>
                <w:rFonts w:ascii="Times New Roman" w:eastAsia="標楷體" w:hAnsi="Times New Roman"/>
                <w:color w:val="000000"/>
                <w:szCs w:val="24"/>
              </w:rPr>
            </w:pPr>
            <w:r>
              <w:rPr>
                <w:rFonts w:ascii="Times New Roman" w:eastAsia="標楷體" w:hAnsi="Times New Roman"/>
                <w:color w:val="000000"/>
                <w:szCs w:val="24"/>
              </w:rPr>
              <w:t>第四條　本標準自發布日施行。</w:t>
            </w:r>
          </w:p>
        </w:tc>
        <w:tc>
          <w:tcPr>
            <w:tcW w:w="46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36F9E" w:rsidRDefault="00B2736F">
            <w:pPr>
              <w:widowControl/>
              <w:jc w:val="both"/>
              <w:rPr>
                <w:rFonts w:ascii="Times New Roman" w:eastAsia="標楷體" w:hAnsi="Times New Roman"/>
                <w:color w:val="000000"/>
                <w:szCs w:val="24"/>
              </w:rPr>
            </w:pPr>
            <w:r>
              <w:rPr>
                <w:rFonts w:ascii="Times New Roman" w:eastAsia="標楷體" w:hAnsi="Times New Roman"/>
                <w:color w:val="000000"/>
                <w:szCs w:val="24"/>
              </w:rPr>
              <w:t>明定本標準施行日期。</w:t>
            </w:r>
          </w:p>
        </w:tc>
      </w:tr>
    </w:tbl>
    <w:p w:rsidR="00936F9E" w:rsidRDefault="00B2736F">
      <w:pPr>
        <w:pageBreakBefore/>
        <w:widowControl/>
        <w:jc w:val="both"/>
        <w:rPr>
          <w:rFonts w:ascii="標楷體" w:eastAsia="標楷體" w:hAnsi="標楷體"/>
          <w:sz w:val="40"/>
          <w:szCs w:val="40"/>
        </w:rPr>
      </w:pPr>
      <w:r>
        <w:rPr>
          <w:rFonts w:ascii="標楷體" w:eastAsia="標楷體" w:hAnsi="標楷體"/>
          <w:sz w:val="40"/>
          <w:szCs w:val="40"/>
        </w:rPr>
        <w:lastRenderedPageBreak/>
        <w:t>臺中市都市計畫審議收費標準草案</w:t>
      </w:r>
    </w:p>
    <w:p w:rsidR="00936F9E" w:rsidRDefault="00B2736F">
      <w:pPr>
        <w:widowControl/>
        <w:spacing w:line="460" w:lineRule="exact"/>
        <w:ind w:left="882" w:hanging="882"/>
        <w:jc w:val="both"/>
      </w:pPr>
      <w:r>
        <w:rPr>
          <w:rFonts w:ascii="Times New Roman" w:eastAsia="標楷體" w:hAnsi="Times New Roman"/>
          <w:sz w:val="28"/>
          <w:szCs w:val="28"/>
        </w:rPr>
        <w:t xml:space="preserve">第一條　　</w:t>
      </w:r>
      <w:r>
        <w:rPr>
          <w:rFonts w:ascii="標楷體" w:eastAsia="標楷體" w:hAnsi="標楷體"/>
          <w:sz w:val="28"/>
          <w:szCs w:val="28"/>
        </w:rPr>
        <w:t>本標準依規費法第十條第一項規定訂定之。</w:t>
      </w:r>
    </w:p>
    <w:p w:rsidR="00936F9E" w:rsidRDefault="00B2736F">
      <w:pPr>
        <w:widowControl/>
        <w:spacing w:line="460" w:lineRule="exact"/>
        <w:ind w:left="882" w:hanging="882"/>
        <w:jc w:val="both"/>
      </w:pPr>
      <w:r>
        <w:rPr>
          <w:rFonts w:ascii="Times New Roman" w:eastAsia="標楷體" w:hAnsi="Times New Roman"/>
          <w:sz w:val="28"/>
          <w:szCs w:val="28"/>
        </w:rPr>
        <w:t xml:space="preserve">第二條　　</w:t>
      </w:r>
      <w:r>
        <w:rPr>
          <w:rFonts w:ascii="標楷體" w:eastAsia="標楷體" w:hAnsi="標楷體"/>
          <w:sz w:val="28"/>
          <w:szCs w:val="28"/>
        </w:rPr>
        <w:t>依都市計畫法第二十七條申請都市計畫個案變更或依都市計畫法第二十四條自行擬定、變更細部計畫者，應依下列規定收取規費：</w:t>
      </w:r>
    </w:p>
    <w:p w:rsidR="00936F9E" w:rsidRDefault="00B2736F">
      <w:pPr>
        <w:pStyle w:val="a3"/>
        <w:widowControl/>
        <w:numPr>
          <w:ilvl w:val="0"/>
          <w:numId w:val="5"/>
        </w:numPr>
        <w:spacing w:line="460" w:lineRule="exact"/>
        <w:ind w:left="2004" w:hanging="588"/>
        <w:jc w:val="both"/>
        <w:rPr>
          <w:rFonts w:ascii="標楷體" w:hAnsi="標楷體"/>
          <w:dstrike w:val="0"/>
          <w:sz w:val="28"/>
          <w:szCs w:val="28"/>
        </w:rPr>
      </w:pPr>
      <w:r>
        <w:rPr>
          <w:rFonts w:ascii="標楷體" w:hAnsi="標楷體"/>
          <w:dstrike w:val="0"/>
          <w:sz w:val="28"/>
          <w:szCs w:val="28"/>
        </w:rPr>
        <w:t>每案基本審議費為新臺幣十萬元，於都市計畫公開展覽前繳納完畢。</w:t>
      </w:r>
    </w:p>
    <w:p w:rsidR="00936F9E" w:rsidRDefault="00B2736F">
      <w:pPr>
        <w:pStyle w:val="a3"/>
        <w:widowControl/>
        <w:numPr>
          <w:ilvl w:val="0"/>
          <w:numId w:val="5"/>
        </w:numPr>
        <w:spacing w:line="460" w:lineRule="exact"/>
        <w:ind w:left="2004" w:hanging="588"/>
        <w:jc w:val="both"/>
        <w:rPr>
          <w:rFonts w:ascii="標楷體" w:hAnsi="標楷體"/>
          <w:dstrike w:val="0"/>
          <w:sz w:val="28"/>
          <w:szCs w:val="28"/>
        </w:rPr>
      </w:pPr>
      <w:r>
        <w:rPr>
          <w:rFonts w:ascii="標楷體" w:hAnsi="標楷體"/>
          <w:dstrike w:val="0"/>
          <w:sz w:val="28"/>
          <w:szCs w:val="28"/>
        </w:rPr>
        <w:t>同一案件經專案小組審議三次後，按超過次數每次加計新臺幣二萬元，應於公告實施前繳納完畢。</w:t>
      </w:r>
    </w:p>
    <w:p w:rsidR="00936F9E" w:rsidRDefault="00B2736F">
      <w:pPr>
        <w:widowControl/>
        <w:spacing w:line="460" w:lineRule="exact"/>
        <w:ind w:left="850" w:firstLine="563"/>
        <w:jc w:val="both"/>
        <w:rPr>
          <w:rFonts w:ascii="標楷體" w:eastAsia="標楷體" w:hAnsi="標楷體"/>
          <w:sz w:val="28"/>
          <w:szCs w:val="28"/>
        </w:rPr>
      </w:pPr>
      <w:r>
        <w:rPr>
          <w:rFonts w:ascii="標楷體" w:eastAsia="標楷體" w:hAnsi="標楷體"/>
          <w:sz w:val="28"/>
          <w:szCs w:val="28"/>
        </w:rPr>
        <w:t>前項審議費，應以書面通知申請人限期繳納；屆期未繳納者，駁回其申請案並退回相關申請資料。</w:t>
      </w:r>
    </w:p>
    <w:p w:rsidR="00936F9E" w:rsidRDefault="00B2736F">
      <w:pPr>
        <w:widowControl/>
        <w:spacing w:line="460" w:lineRule="exact"/>
        <w:ind w:left="826" w:hanging="826"/>
        <w:jc w:val="both"/>
      </w:pPr>
      <w:r>
        <w:rPr>
          <w:rFonts w:ascii="Times New Roman" w:eastAsia="標楷體" w:hAnsi="Times New Roman"/>
          <w:sz w:val="28"/>
          <w:szCs w:val="28"/>
        </w:rPr>
        <w:t xml:space="preserve">第三條　　</w:t>
      </w:r>
      <w:r>
        <w:rPr>
          <w:rFonts w:ascii="標楷體" w:eastAsia="標楷體" w:hAnsi="標楷體"/>
          <w:sz w:val="28"/>
          <w:szCs w:val="28"/>
        </w:rPr>
        <w:t>有下列情形之一者，得免收審議費：</w:t>
      </w:r>
    </w:p>
    <w:p w:rsidR="00936F9E" w:rsidRDefault="00B2736F">
      <w:pPr>
        <w:pStyle w:val="a3"/>
        <w:widowControl/>
        <w:numPr>
          <w:ilvl w:val="0"/>
          <w:numId w:val="6"/>
        </w:numPr>
        <w:spacing w:line="460" w:lineRule="exact"/>
        <w:ind w:left="1985" w:hanging="567"/>
        <w:jc w:val="both"/>
        <w:rPr>
          <w:rFonts w:ascii="標楷體" w:hAnsi="標楷體"/>
          <w:dstrike w:val="0"/>
          <w:sz w:val="28"/>
          <w:szCs w:val="28"/>
        </w:rPr>
      </w:pPr>
      <w:r>
        <w:rPr>
          <w:rFonts w:ascii="標楷體" w:hAnsi="標楷體"/>
          <w:dstrike w:val="0"/>
          <w:sz w:val="28"/>
          <w:szCs w:val="28"/>
        </w:rPr>
        <w:t>都市計畫法第二十七條第一項第一款或第二款規定迅行變更。</w:t>
      </w:r>
    </w:p>
    <w:p w:rsidR="00936F9E" w:rsidRDefault="00B2736F">
      <w:pPr>
        <w:pStyle w:val="a3"/>
        <w:widowControl/>
        <w:numPr>
          <w:ilvl w:val="0"/>
          <w:numId w:val="6"/>
        </w:numPr>
        <w:spacing w:line="460" w:lineRule="exact"/>
        <w:ind w:left="1985" w:hanging="567"/>
        <w:jc w:val="both"/>
        <w:rPr>
          <w:rFonts w:ascii="標楷體" w:hAnsi="標楷體"/>
          <w:dstrike w:val="0"/>
          <w:sz w:val="28"/>
          <w:szCs w:val="28"/>
        </w:rPr>
      </w:pPr>
      <w:r>
        <w:rPr>
          <w:rFonts w:ascii="標楷體" w:hAnsi="標楷體"/>
          <w:dstrike w:val="0"/>
          <w:sz w:val="28"/>
          <w:szCs w:val="28"/>
        </w:rPr>
        <w:t>因不可歸責申請人事由，致地籍測量結果與原許可計畫面積、位置不符，申請變更都市計畫。</w:t>
      </w:r>
    </w:p>
    <w:p w:rsidR="00936F9E" w:rsidRDefault="00B2736F">
      <w:pPr>
        <w:pStyle w:val="a3"/>
        <w:widowControl/>
        <w:numPr>
          <w:ilvl w:val="0"/>
          <w:numId w:val="6"/>
        </w:numPr>
        <w:spacing w:line="460" w:lineRule="exact"/>
        <w:ind w:left="1985" w:hanging="567"/>
        <w:jc w:val="both"/>
        <w:rPr>
          <w:rFonts w:ascii="標楷體" w:hAnsi="標楷體"/>
          <w:dstrike w:val="0"/>
          <w:sz w:val="28"/>
          <w:szCs w:val="28"/>
        </w:rPr>
      </w:pPr>
      <w:r>
        <w:rPr>
          <w:rFonts w:ascii="標楷體" w:hAnsi="標楷體"/>
          <w:dstrike w:val="0"/>
          <w:sz w:val="28"/>
          <w:szCs w:val="28"/>
        </w:rPr>
        <w:t>屬政府興辦之公共工程或建設計畫，申請變更都市計畫。</w:t>
      </w:r>
    </w:p>
    <w:p w:rsidR="00936F9E" w:rsidRDefault="00B2736F">
      <w:pPr>
        <w:widowControl/>
        <w:spacing w:line="460" w:lineRule="exact"/>
        <w:ind w:left="882" w:hanging="882"/>
        <w:jc w:val="both"/>
      </w:pPr>
      <w:r>
        <w:rPr>
          <w:rFonts w:ascii="Times New Roman" w:eastAsia="標楷體" w:hAnsi="Times New Roman"/>
          <w:sz w:val="28"/>
          <w:szCs w:val="28"/>
        </w:rPr>
        <w:t>第四條　　本標準自發布日施行。</w:t>
      </w:r>
    </w:p>
    <w:sectPr w:rsidR="00936F9E">
      <w:pgSz w:w="11906" w:h="16838"/>
      <w:pgMar w:top="1418" w:right="1418" w:bottom="1418" w:left="1701" w:header="720" w:footer="720" w:gutter="0"/>
      <w:cols w:space="720"/>
      <w:docGrid w:type="lines" w:linePitch="3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2736F" w:rsidRDefault="00B2736F">
      <w:r>
        <w:separator/>
      </w:r>
    </w:p>
  </w:endnote>
  <w:endnote w:type="continuationSeparator" w:id="0">
    <w:p w:rsidR="00B2736F" w:rsidRDefault="00B273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2736F" w:rsidRDefault="00B2736F">
      <w:r>
        <w:rPr>
          <w:color w:val="000000"/>
        </w:rPr>
        <w:separator/>
      </w:r>
    </w:p>
  </w:footnote>
  <w:footnote w:type="continuationSeparator" w:id="0">
    <w:p w:rsidR="00B2736F" w:rsidRDefault="00B2736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DB117A"/>
    <w:multiLevelType w:val="multilevel"/>
    <w:tmpl w:val="357AFEE8"/>
    <w:lvl w:ilvl="0">
      <w:start w:val="1"/>
      <w:numFmt w:val="taiwaneseCountingThousand"/>
      <w:suff w:val="nothing"/>
      <w:lvlText w:val="%1、"/>
      <w:lvlJc w:val="left"/>
      <w:pPr>
        <w:ind w:left="8137" w:hanging="481"/>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07A15046"/>
    <w:multiLevelType w:val="multilevel"/>
    <w:tmpl w:val="C6F416CC"/>
    <w:lvl w:ilvl="0">
      <w:start w:val="1"/>
      <w:numFmt w:val="taiwaneseCountingThousand"/>
      <w:suff w:val="nothing"/>
      <w:lvlText w:val="%1、"/>
      <w:lvlJc w:val="left"/>
      <w:pPr>
        <w:ind w:left="765" w:hanging="481"/>
      </w:pPr>
      <w:rPr>
        <w:strike w:val="0"/>
        <w:dstrike w:val="0"/>
      </w:rPr>
    </w:lvl>
    <w:lvl w:ilvl="1">
      <w:numFmt w:val="bullet"/>
      <w:lvlText w:val="※"/>
      <w:lvlJc w:val="left"/>
      <w:pPr>
        <w:ind w:left="1155" w:hanging="435"/>
      </w:pPr>
      <w:rPr>
        <w:rFonts w:ascii="新細明體" w:eastAsia="新細明體" w:hAnsi="新細明體" w:cs="新細明體"/>
      </w:rPr>
    </w:lvl>
    <w:lvl w:ilvl="2">
      <w:start w:val="1"/>
      <w:numFmt w:val="lowerRoman"/>
      <w:lvlText w:val="%3."/>
      <w:lvlJc w:val="right"/>
      <w:pPr>
        <w:ind w:left="1680" w:hanging="480"/>
      </w:pPr>
    </w:lvl>
    <w:lvl w:ilvl="3">
      <w:start w:val="1"/>
      <w:numFmt w:val="decimal"/>
      <w:lvlText w:val="%4."/>
      <w:lvlJc w:val="left"/>
      <w:pPr>
        <w:ind w:left="2160" w:hanging="480"/>
      </w:pPr>
    </w:lvl>
    <w:lvl w:ilvl="4">
      <w:start w:val="1"/>
      <w:numFmt w:val="ideographTraditional"/>
      <w:lvlText w:val="%5、"/>
      <w:lvlJc w:val="left"/>
      <w:pPr>
        <w:ind w:left="2640" w:hanging="480"/>
      </w:pPr>
    </w:lvl>
    <w:lvl w:ilvl="5">
      <w:start w:val="1"/>
      <w:numFmt w:val="lowerRoman"/>
      <w:lvlText w:val="%6."/>
      <w:lvlJc w:val="right"/>
      <w:pPr>
        <w:ind w:left="3120" w:hanging="480"/>
      </w:pPr>
    </w:lvl>
    <w:lvl w:ilvl="6">
      <w:start w:val="1"/>
      <w:numFmt w:val="decimal"/>
      <w:lvlText w:val="%7."/>
      <w:lvlJc w:val="left"/>
      <w:pPr>
        <w:ind w:left="3600" w:hanging="480"/>
      </w:pPr>
    </w:lvl>
    <w:lvl w:ilvl="7">
      <w:start w:val="1"/>
      <w:numFmt w:val="ideographTraditional"/>
      <w:lvlText w:val="%8、"/>
      <w:lvlJc w:val="left"/>
      <w:pPr>
        <w:ind w:left="4080" w:hanging="480"/>
      </w:pPr>
    </w:lvl>
    <w:lvl w:ilvl="8">
      <w:start w:val="1"/>
      <w:numFmt w:val="lowerRoman"/>
      <w:lvlText w:val="%9."/>
      <w:lvlJc w:val="right"/>
      <w:pPr>
        <w:ind w:left="4560" w:hanging="480"/>
      </w:pPr>
    </w:lvl>
  </w:abstractNum>
  <w:abstractNum w:abstractNumId="2" w15:restartNumberingAfterBreak="0">
    <w:nsid w:val="2BF169D6"/>
    <w:multiLevelType w:val="multilevel"/>
    <w:tmpl w:val="F0DA9BA6"/>
    <w:lvl w:ilvl="0">
      <w:start w:val="1"/>
      <w:numFmt w:val="taiwaneseCountingThousand"/>
      <w:suff w:val="nothing"/>
      <w:lvlText w:val="%1、"/>
      <w:lvlJc w:val="left"/>
      <w:pPr>
        <w:ind w:left="765" w:hanging="481"/>
      </w:pPr>
      <w:rPr>
        <w:strike w:val="0"/>
        <w:dstrike w:val="0"/>
      </w:rPr>
    </w:lvl>
    <w:lvl w:ilvl="1">
      <w:numFmt w:val="bullet"/>
      <w:lvlText w:val="※"/>
      <w:lvlJc w:val="left"/>
      <w:pPr>
        <w:ind w:left="1155" w:hanging="435"/>
      </w:pPr>
      <w:rPr>
        <w:rFonts w:ascii="新細明體" w:eastAsia="新細明體" w:hAnsi="新細明體" w:cs="新細明體"/>
      </w:rPr>
    </w:lvl>
    <w:lvl w:ilvl="2">
      <w:start w:val="1"/>
      <w:numFmt w:val="lowerRoman"/>
      <w:lvlText w:val="%3."/>
      <w:lvlJc w:val="right"/>
      <w:pPr>
        <w:ind w:left="1680" w:hanging="480"/>
      </w:pPr>
    </w:lvl>
    <w:lvl w:ilvl="3">
      <w:start w:val="1"/>
      <w:numFmt w:val="decimal"/>
      <w:lvlText w:val="%4."/>
      <w:lvlJc w:val="left"/>
      <w:pPr>
        <w:ind w:left="2160" w:hanging="480"/>
      </w:pPr>
    </w:lvl>
    <w:lvl w:ilvl="4">
      <w:start w:val="1"/>
      <w:numFmt w:val="ideographTraditional"/>
      <w:lvlText w:val="%5、"/>
      <w:lvlJc w:val="left"/>
      <w:pPr>
        <w:ind w:left="2640" w:hanging="480"/>
      </w:pPr>
    </w:lvl>
    <w:lvl w:ilvl="5">
      <w:start w:val="1"/>
      <w:numFmt w:val="lowerRoman"/>
      <w:lvlText w:val="%6."/>
      <w:lvlJc w:val="right"/>
      <w:pPr>
        <w:ind w:left="3120" w:hanging="480"/>
      </w:pPr>
    </w:lvl>
    <w:lvl w:ilvl="6">
      <w:start w:val="1"/>
      <w:numFmt w:val="decimal"/>
      <w:lvlText w:val="%7."/>
      <w:lvlJc w:val="left"/>
      <w:pPr>
        <w:ind w:left="3600" w:hanging="480"/>
      </w:pPr>
    </w:lvl>
    <w:lvl w:ilvl="7">
      <w:start w:val="1"/>
      <w:numFmt w:val="ideographTraditional"/>
      <w:lvlText w:val="%8、"/>
      <w:lvlJc w:val="left"/>
      <w:pPr>
        <w:ind w:left="4080" w:hanging="480"/>
      </w:pPr>
    </w:lvl>
    <w:lvl w:ilvl="8">
      <w:start w:val="1"/>
      <w:numFmt w:val="lowerRoman"/>
      <w:lvlText w:val="%9."/>
      <w:lvlJc w:val="right"/>
      <w:pPr>
        <w:ind w:left="4560" w:hanging="480"/>
      </w:pPr>
    </w:lvl>
  </w:abstractNum>
  <w:abstractNum w:abstractNumId="3" w15:restartNumberingAfterBreak="0">
    <w:nsid w:val="37700BE7"/>
    <w:multiLevelType w:val="multilevel"/>
    <w:tmpl w:val="78D02FC6"/>
    <w:lvl w:ilvl="0">
      <w:start w:val="1"/>
      <w:numFmt w:val="taiwaneseCountingThousand"/>
      <w:lvlText w:val="%1、"/>
      <w:lvlJc w:val="left"/>
      <w:pPr>
        <w:ind w:left="481" w:hanging="480"/>
      </w:pPr>
    </w:lvl>
    <w:lvl w:ilvl="1">
      <w:start w:val="1"/>
      <w:numFmt w:val="ideographTraditional"/>
      <w:lvlText w:val="%2、"/>
      <w:lvlJc w:val="left"/>
      <w:pPr>
        <w:ind w:left="961" w:hanging="480"/>
      </w:pPr>
    </w:lvl>
    <w:lvl w:ilvl="2">
      <w:start w:val="1"/>
      <w:numFmt w:val="lowerRoman"/>
      <w:lvlText w:val="%3."/>
      <w:lvlJc w:val="right"/>
      <w:pPr>
        <w:ind w:left="1441" w:hanging="480"/>
      </w:pPr>
    </w:lvl>
    <w:lvl w:ilvl="3">
      <w:start w:val="1"/>
      <w:numFmt w:val="decimal"/>
      <w:lvlText w:val="%4."/>
      <w:lvlJc w:val="left"/>
      <w:pPr>
        <w:ind w:left="1921" w:hanging="480"/>
      </w:pPr>
    </w:lvl>
    <w:lvl w:ilvl="4">
      <w:start w:val="1"/>
      <w:numFmt w:val="ideographTraditional"/>
      <w:lvlText w:val="%5、"/>
      <w:lvlJc w:val="left"/>
      <w:pPr>
        <w:ind w:left="2401" w:hanging="480"/>
      </w:pPr>
    </w:lvl>
    <w:lvl w:ilvl="5">
      <w:start w:val="1"/>
      <w:numFmt w:val="lowerRoman"/>
      <w:lvlText w:val="%6."/>
      <w:lvlJc w:val="right"/>
      <w:pPr>
        <w:ind w:left="2881" w:hanging="480"/>
      </w:pPr>
    </w:lvl>
    <w:lvl w:ilvl="6">
      <w:start w:val="1"/>
      <w:numFmt w:val="decimal"/>
      <w:lvlText w:val="%7."/>
      <w:lvlJc w:val="left"/>
      <w:pPr>
        <w:ind w:left="3361" w:hanging="480"/>
      </w:pPr>
    </w:lvl>
    <w:lvl w:ilvl="7">
      <w:start w:val="1"/>
      <w:numFmt w:val="ideographTraditional"/>
      <w:lvlText w:val="%8、"/>
      <w:lvlJc w:val="left"/>
      <w:pPr>
        <w:ind w:left="3841" w:hanging="480"/>
      </w:pPr>
    </w:lvl>
    <w:lvl w:ilvl="8">
      <w:start w:val="1"/>
      <w:numFmt w:val="lowerRoman"/>
      <w:lvlText w:val="%9."/>
      <w:lvlJc w:val="right"/>
      <w:pPr>
        <w:ind w:left="4321" w:hanging="480"/>
      </w:pPr>
    </w:lvl>
  </w:abstractNum>
  <w:abstractNum w:abstractNumId="4" w15:restartNumberingAfterBreak="0">
    <w:nsid w:val="4B0129CA"/>
    <w:multiLevelType w:val="multilevel"/>
    <w:tmpl w:val="A48C01C8"/>
    <w:lvl w:ilvl="0">
      <w:start w:val="1"/>
      <w:numFmt w:val="taiwaneseCountingThousand"/>
      <w:lvlText w:val="%1、"/>
      <w:lvlJc w:val="left"/>
      <w:pPr>
        <w:ind w:left="3840" w:hanging="72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 w15:restartNumberingAfterBreak="0">
    <w:nsid w:val="607B1315"/>
    <w:multiLevelType w:val="multilevel"/>
    <w:tmpl w:val="76842E42"/>
    <w:lvl w:ilvl="0">
      <w:start w:val="1"/>
      <w:numFmt w:val="taiwaneseCountingThousand"/>
      <w:suff w:val="nothing"/>
      <w:lvlText w:val="%1、"/>
      <w:lvlJc w:val="left"/>
      <w:pPr>
        <w:ind w:left="8137" w:hanging="481"/>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4"/>
  </w:num>
  <w:num w:numId="2">
    <w:abstractNumId w:val="3"/>
  </w:num>
  <w:num w:numId="3">
    <w:abstractNumId w:val="1"/>
  </w:num>
  <w:num w:numId="4">
    <w:abstractNumId w:val="2"/>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attachedTemplate r:id="rId1"/>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
  <w:rsids>
    <w:rsidRoot w:val="00936F9E"/>
    <w:rsid w:val="00011C94"/>
    <w:rsid w:val="00024616"/>
    <w:rsid w:val="00936F9E"/>
    <w:rsid w:val="00B2736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AEA3DC8-3DB2-4B31-854D-1F064A3FB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kern w:val="3"/>
        <w:sz w:val="24"/>
        <w:szCs w:val="22"/>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suppressAutoHyphens/>
    </w:pPr>
  </w:style>
  <w:style w:type="paragraph" w:styleId="2">
    <w:name w:val="heading 2"/>
    <w:basedOn w:val="a"/>
    <w:next w:val="a"/>
    <w:pPr>
      <w:keepNext/>
      <w:spacing w:line="720" w:lineRule="auto"/>
      <w:outlineLvl w:val="1"/>
    </w:pPr>
    <w:rPr>
      <w:rFonts w:ascii="Calibri Light" w:hAnsi="Calibri Light"/>
      <w:b/>
      <w:bCs/>
      <w:sz w:val="48"/>
      <w:szCs w:val="48"/>
    </w:rPr>
  </w:style>
  <w:style w:type="paragraph" w:styleId="3">
    <w:name w:val="heading 3"/>
    <w:basedOn w:val="a"/>
    <w:next w:val="a"/>
    <w:pPr>
      <w:keepNext/>
      <w:spacing w:line="720" w:lineRule="auto"/>
      <w:outlineLvl w:val="2"/>
    </w:pPr>
    <w:rPr>
      <w:rFonts w:ascii="Calibri Light" w:hAnsi="Calibri Light"/>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rPr>
      <w:rFonts w:ascii="Calibri Light" w:eastAsia="新細明體" w:hAnsi="Calibri Light" w:cs="Times New Roman"/>
      <w:b/>
      <w:bCs/>
      <w:sz w:val="48"/>
      <w:szCs w:val="48"/>
    </w:rPr>
  </w:style>
  <w:style w:type="character" w:customStyle="1" w:styleId="30">
    <w:name w:val="標題 3 字元"/>
    <w:basedOn w:val="a0"/>
    <w:rPr>
      <w:rFonts w:ascii="Calibri Light" w:eastAsia="新細明體" w:hAnsi="Calibri Light" w:cs="Times New Roman"/>
      <w:b/>
      <w:bCs/>
      <w:sz w:val="36"/>
      <w:szCs w:val="36"/>
    </w:rPr>
  </w:style>
  <w:style w:type="paragraph" w:styleId="a3">
    <w:name w:val="List Paragraph"/>
    <w:basedOn w:val="a"/>
    <w:pPr>
      <w:ind w:left="480"/>
    </w:pPr>
    <w:rPr>
      <w:rFonts w:ascii="Times New Roman" w:eastAsia="標楷體" w:hAnsi="Times New Roman"/>
      <w:dstrike/>
      <w:sz w:val="26"/>
      <w:szCs w:val="26"/>
    </w:rPr>
  </w:style>
  <w:style w:type="character" w:styleId="a4">
    <w:name w:val="annotation reference"/>
    <w:basedOn w:val="a0"/>
    <w:rPr>
      <w:sz w:val="18"/>
      <w:szCs w:val="18"/>
    </w:rPr>
  </w:style>
  <w:style w:type="paragraph" w:styleId="a5">
    <w:name w:val="annotation text"/>
    <w:basedOn w:val="a"/>
  </w:style>
  <w:style w:type="character" w:customStyle="1" w:styleId="a6">
    <w:name w:val="註解文字 字元"/>
    <w:basedOn w:val="a0"/>
    <w:rPr>
      <w:rFonts w:ascii="Calibri" w:eastAsia="新細明體" w:hAnsi="Calibri" w:cs="Times New Roman"/>
    </w:rPr>
  </w:style>
  <w:style w:type="paragraph" w:styleId="a7">
    <w:name w:val="annotation subject"/>
    <w:basedOn w:val="a5"/>
    <w:next w:val="a5"/>
    <w:rPr>
      <w:b/>
      <w:bCs/>
    </w:rPr>
  </w:style>
  <w:style w:type="character" w:customStyle="1" w:styleId="a8">
    <w:name w:val="註解主旨 字元"/>
    <w:basedOn w:val="a6"/>
    <w:rPr>
      <w:rFonts w:ascii="Calibri" w:eastAsia="新細明體" w:hAnsi="Calibri" w:cs="Times New Roman"/>
      <w:b/>
      <w:bCs/>
    </w:rPr>
  </w:style>
  <w:style w:type="paragraph" w:styleId="a9">
    <w:name w:val="Balloon Text"/>
    <w:basedOn w:val="a"/>
    <w:rPr>
      <w:rFonts w:ascii="Calibri Light" w:hAnsi="Calibri Light"/>
      <w:sz w:val="18"/>
      <w:szCs w:val="18"/>
    </w:rPr>
  </w:style>
  <w:style w:type="character" w:customStyle="1" w:styleId="aa">
    <w:name w:val="註解方塊文字 字元"/>
    <w:basedOn w:val="a0"/>
    <w:rPr>
      <w:rFonts w:ascii="Calibri Light" w:eastAsia="新細明體" w:hAnsi="Calibri Light" w:cs="Times New Roman"/>
      <w:sz w:val="18"/>
      <w:szCs w:val="18"/>
    </w:rPr>
  </w:style>
  <w:style w:type="paragraph" w:styleId="ab">
    <w:name w:val="header"/>
    <w:basedOn w:val="a"/>
    <w:pPr>
      <w:tabs>
        <w:tab w:val="center" w:pos="4153"/>
        <w:tab w:val="right" w:pos="8306"/>
      </w:tabs>
      <w:snapToGrid w:val="0"/>
    </w:pPr>
    <w:rPr>
      <w:sz w:val="20"/>
      <w:szCs w:val="20"/>
    </w:rPr>
  </w:style>
  <w:style w:type="character" w:customStyle="1" w:styleId="ac">
    <w:name w:val="頁首 字元"/>
    <w:basedOn w:val="a0"/>
    <w:rPr>
      <w:rFonts w:ascii="Calibri" w:eastAsia="新細明體" w:hAnsi="Calibri" w:cs="Times New Roman"/>
      <w:sz w:val="20"/>
      <w:szCs w:val="20"/>
    </w:rPr>
  </w:style>
  <w:style w:type="paragraph" w:styleId="ad">
    <w:name w:val="footer"/>
    <w:basedOn w:val="a"/>
    <w:pPr>
      <w:tabs>
        <w:tab w:val="center" w:pos="4153"/>
        <w:tab w:val="right" w:pos="8306"/>
      </w:tabs>
      <w:snapToGrid w:val="0"/>
    </w:pPr>
    <w:rPr>
      <w:sz w:val="20"/>
      <w:szCs w:val="20"/>
    </w:rPr>
  </w:style>
  <w:style w:type="character" w:customStyle="1" w:styleId="ae">
    <w:name w:val="頁尾 字元"/>
    <w:basedOn w:val="a0"/>
    <w:rPr>
      <w:rFonts w:ascii="Calibri" w:eastAsia="新細明體" w:hAnsi="Calibri"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164</Words>
  <Characters>939</Characters>
  <Application>Microsoft Office Word</Application>
  <DocSecurity>0</DocSecurity>
  <Lines>7</Lines>
  <Paragraphs>2</Paragraphs>
  <ScaleCrop>false</ScaleCrop>
  <Company/>
  <LinksUpToDate>false</LinksUpToDate>
  <CharactersWithSpaces>1101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施右容</dc:creator>
  <dc:description/>
  <cp:lastModifiedBy>施右容</cp:lastModifiedBy>
  <cp:revision>2</cp:revision>
  <cp:lastPrinted>2019-08-21T03:01:00Z</cp:lastPrinted>
  <dcterms:created xsi:type="dcterms:W3CDTF">2019-08-22T03:52:00Z</dcterms:created>
  <dcterms:modified xsi:type="dcterms:W3CDTF">2019-08-22T03:52:00Z</dcterms:modified>
</cp:coreProperties>
</file>