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47A" w:rsidRDefault="00C978B0">
      <w:pPr>
        <w:pStyle w:val="1"/>
        <w:spacing w:after="42"/>
        <w:ind w:left="-5"/>
      </w:pPr>
      <w:bookmarkStart w:id="0" w:name="_GoBack"/>
      <w:r>
        <w:t>臺中市休閒娛樂服務業管理自治條例</w:t>
      </w:r>
      <w:bookmarkEnd w:id="0"/>
      <w:r>
        <w:t xml:space="preserve">第九條之一、第十三條之一、第十四條修正草案總說明 </w:t>
      </w:r>
    </w:p>
    <w:p w:rsidR="0098047A" w:rsidRDefault="00C978B0" w:rsidP="002E3D07">
      <w:pPr>
        <w:ind w:left="-15" w:firstLine="566"/>
        <w:jc w:val="both"/>
      </w:pPr>
      <w:r>
        <w:t xml:space="preserve">為維護營業秩序，保障消費者，並及時防止休閒娛樂服務業營業場所內犯罪行為擴大，遏止業者及從業人員參與鬥毆等不法行為。爰修正「臺中市休閒娛樂服務業管理自治條例」第九條之一、第十三條之一、第十四條，修正要點如下： </w:t>
      </w:r>
    </w:p>
    <w:p w:rsidR="0098047A" w:rsidRDefault="00C978B0" w:rsidP="002E3D07">
      <w:pPr>
        <w:numPr>
          <w:ilvl w:val="0"/>
          <w:numId w:val="1"/>
        </w:numPr>
        <w:ind w:hanging="720"/>
        <w:jc w:val="both"/>
      </w:pPr>
      <w:r>
        <w:t xml:space="preserve">為有效確保業者善盡場所管理人員責任，遏止營業場所犯罪行為，規範休閒娛樂服務業者及從業人員發現攜帶違禁物品等影響公共秩序之情事，應有通報警察機關之義務，使警察機關得及早介入，避免事態更趨嚴重。（修正條文第九條之一） </w:t>
      </w:r>
    </w:p>
    <w:p w:rsidR="0098047A" w:rsidRDefault="00C978B0" w:rsidP="002E3D07">
      <w:pPr>
        <w:numPr>
          <w:ilvl w:val="0"/>
          <w:numId w:val="1"/>
        </w:numPr>
        <w:ind w:hanging="720"/>
        <w:jc w:val="both"/>
      </w:pPr>
      <w:r>
        <w:t xml:space="preserve">為維護營業秩序，修正第十三條之一規範對象，擴大休閒娛樂服務業代表人或負責人、從業人員於營業場所參與鬥毆滋事、涉犯提供場所賭博、妨害風化、毒品危害防制條例之罪或其他同類犯罪行為，經警察機關查獲移送之罰則。(修正條文第十三條之一) </w:t>
      </w:r>
    </w:p>
    <w:p w:rsidR="0098047A" w:rsidRDefault="00C978B0" w:rsidP="002E3D07">
      <w:pPr>
        <w:numPr>
          <w:ilvl w:val="0"/>
          <w:numId w:val="1"/>
        </w:numPr>
        <w:ind w:hanging="720"/>
        <w:jc w:val="both"/>
      </w:pPr>
      <w:r>
        <w:t xml:space="preserve">基於維護公安需要，保障消費者安全，爰增訂第十四條第二項針對休閒娛樂服務業者及從業人員發現有攜帶違禁物品等影響公共秩序之情事，未通報警察機關且經警察機關查證屬實之罰則。（修正條文第十四條） </w:t>
      </w:r>
    </w:p>
    <w:p w:rsidR="0098047A" w:rsidRDefault="00C978B0">
      <w:pPr>
        <w:spacing w:after="181" w:line="259" w:lineRule="auto"/>
        <w:ind w:left="0" w:firstLine="0"/>
      </w:pPr>
      <w:r>
        <w:t xml:space="preserve"> </w:t>
      </w:r>
    </w:p>
    <w:p w:rsidR="00762C3F" w:rsidRDefault="00C978B0">
      <w:pPr>
        <w:spacing w:after="157" w:line="259" w:lineRule="auto"/>
        <w:ind w:left="0" w:firstLine="0"/>
        <w:rPr>
          <w:sz w:val="40"/>
        </w:rPr>
      </w:pPr>
      <w:r>
        <w:rPr>
          <w:sz w:val="40"/>
        </w:rPr>
        <w:t xml:space="preserve"> </w:t>
      </w:r>
    </w:p>
    <w:p w:rsidR="00762C3F" w:rsidRDefault="00762C3F" w:rsidP="00762C3F">
      <w:r>
        <w:br w:type="page"/>
      </w:r>
    </w:p>
    <w:p w:rsidR="0098047A" w:rsidRDefault="00C978B0">
      <w:pPr>
        <w:pStyle w:val="1"/>
        <w:ind w:left="-5"/>
      </w:pPr>
      <w:r>
        <w:lastRenderedPageBreak/>
        <w:t xml:space="preserve">臺中市休閒娛樂服務業管理自治條例第九條之一、第十三條之一、第十四條修正草案條文對照表 </w:t>
      </w:r>
    </w:p>
    <w:tbl>
      <w:tblPr>
        <w:tblStyle w:val="TableGrid"/>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94" w:type="dxa"/>
        </w:tblCellMar>
        <w:tblLook w:val="04A0" w:firstRow="1" w:lastRow="0" w:firstColumn="1" w:lastColumn="0" w:noHBand="0" w:noVBand="1"/>
      </w:tblPr>
      <w:tblGrid>
        <w:gridCol w:w="2927"/>
        <w:gridCol w:w="2927"/>
        <w:gridCol w:w="2928"/>
      </w:tblGrid>
      <w:tr w:rsidR="0098047A" w:rsidTr="004F0A3B">
        <w:trPr>
          <w:trHeight w:val="20"/>
        </w:trPr>
        <w:tc>
          <w:tcPr>
            <w:tcW w:w="2927" w:type="dxa"/>
            <w:vAlign w:val="center"/>
          </w:tcPr>
          <w:p w:rsidR="0098047A" w:rsidRDefault="00C978B0">
            <w:pPr>
              <w:spacing w:after="0" w:line="259" w:lineRule="auto"/>
              <w:ind w:left="0" w:right="94" w:firstLine="0"/>
              <w:jc w:val="center"/>
            </w:pPr>
            <w:r>
              <w:rPr>
                <w:sz w:val="24"/>
              </w:rPr>
              <w:t xml:space="preserve">修正條文 </w:t>
            </w:r>
          </w:p>
        </w:tc>
        <w:tc>
          <w:tcPr>
            <w:tcW w:w="2927" w:type="dxa"/>
            <w:vAlign w:val="center"/>
          </w:tcPr>
          <w:p w:rsidR="0098047A" w:rsidRDefault="00C978B0">
            <w:pPr>
              <w:spacing w:after="0" w:line="259" w:lineRule="auto"/>
              <w:ind w:left="0" w:right="99" w:firstLine="0"/>
              <w:jc w:val="center"/>
            </w:pPr>
            <w:r>
              <w:rPr>
                <w:sz w:val="24"/>
              </w:rPr>
              <w:t xml:space="preserve">現行條文 </w:t>
            </w:r>
          </w:p>
        </w:tc>
        <w:tc>
          <w:tcPr>
            <w:tcW w:w="2928" w:type="dxa"/>
            <w:vAlign w:val="center"/>
          </w:tcPr>
          <w:p w:rsidR="0098047A" w:rsidRDefault="00C978B0">
            <w:pPr>
              <w:spacing w:after="0" w:line="259" w:lineRule="auto"/>
              <w:ind w:left="0" w:right="91" w:firstLine="0"/>
              <w:jc w:val="center"/>
            </w:pPr>
            <w:r>
              <w:rPr>
                <w:sz w:val="24"/>
              </w:rPr>
              <w:t xml:space="preserve">說   明 </w:t>
            </w:r>
          </w:p>
        </w:tc>
      </w:tr>
      <w:tr w:rsidR="0098047A" w:rsidTr="004F0A3B">
        <w:trPr>
          <w:trHeight w:val="20"/>
        </w:trPr>
        <w:tc>
          <w:tcPr>
            <w:tcW w:w="2927" w:type="dxa"/>
          </w:tcPr>
          <w:p w:rsidR="002E3D07" w:rsidRDefault="00C978B0" w:rsidP="002E3D07">
            <w:pPr>
              <w:spacing w:after="0" w:line="277" w:lineRule="auto"/>
              <w:ind w:left="254" w:rightChars="59" w:right="165" w:hanging="240"/>
              <w:jc w:val="both"/>
              <w:rPr>
                <w:color w:val="333333"/>
                <w:sz w:val="24"/>
              </w:rPr>
            </w:pPr>
            <w:r>
              <w:rPr>
                <w:sz w:val="24"/>
              </w:rPr>
              <w:t>第九條之一</w:t>
            </w:r>
            <w:r w:rsidR="002E3D07">
              <w:rPr>
                <w:rFonts w:hint="eastAsia"/>
                <w:sz w:val="24"/>
              </w:rPr>
              <w:t xml:space="preserve"> </w:t>
            </w:r>
            <w:r>
              <w:rPr>
                <w:sz w:val="24"/>
              </w:rPr>
              <w:t xml:space="preserve"> 休閒娛樂服務業代表人、負責人或從業人員</w:t>
            </w:r>
            <w:r>
              <w:rPr>
                <w:color w:val="333333"/>
                <w:sz w:val="24"/>
              </w:rPr>
              <w:t>發現有下列情事之一者，應即通報警察機關處理：</w:t>
            </w:r>
          </w:p>
          <w:p w:rsidR="0098047A" w:rsidRDefault="00C978B0" w:rsidP="002E3D07">
            <w:pPr>
              <w:spacing w:after="23" w:line="259" w:lineRule="auto"/>
              <w:ind w:leftChars="104" w:left="718" w:hangingChars="178" w:hanging="427"/>
              <w:jc w:val="both"/>
            </w:pPr>
            <w:r>
              <w:rPr>
                <w:sz w:val="24"/>
              </w:rPr>
              <w:t xml:space="preserve">一、攜帶違禁物品。 </w:t>
            </w:r>
          </w:p>
          <w:p w:rsidR="0098047A" w:rsidRDefault="002E3D07" w:rsidP="002E3D07">
            <w:pPr>
              <w:spacing w:after="23" w:line="259" w:lineRule="auto"/>
              <w:ind w:leftChars="104" w:left="718" w:hangingChars="178" w:hanging="427"/>
              <w:jc w:val="both"/>
            </w:pPr>
            <w:r>
              <w:rPr>
                <w:rFonts w:hint="eastAsia"/>
                <w:sz w:val="24"/>
              </w:rPr>
              <w:t>二、</w:t>
            </w:r>
            <w:r w:rsidR="00C978B0">
              <w:rPr>
                <w:sz w:val="24"/>
              </w:rPr>
              <w:t xml:space="preserve">鬥毆或酗酒滋事。 </w:t>
            </w:r>
          </w:p>
          <w:p w:rsidR="00E63E01" w:rsidRDefault="002E3D07" w:rsidP="00E63E01">
            <w:pPr>
              <w:spacing w:after="23" w:line="259" w:lineRule="auto"/>
              <w:ind w:leftChars="104" w:left="718" w:rightChars="59" w:right="165" w:hangingChars="178" w:hanging="427"/>
              <w:jc w:val="both"/>
              <w:rPr>
                <w:sz w:val="24"/>
              </w:rPr>
            </w:pPr>
            <w:r>
              <w:rPr>
                <w:rFonts w:hint="eastAsia"/>
                <w:sz w:val="24"/>
              </w:rPr>
              <w:t>三、</w:t>
            </w:r>
            <w:r w:rsidR="00C978B0">
              <w:rPr>
                <w:sz w:val="24"/>
              </w:rPr>
              <w:t>涉有吸食毒品，行為怪異。</w:t>
            </w:r>
          </w:p>
          <w:p w:rsidR="0098047A" w:rsidRDefault="002E3D07" w:rsidP="00E63E01">
            <w:pPr>
              <w:spacing w:after="23" w:line="259" w:lineRule="auto"/>
              <w:ind w:leftChars="104" w:left="718" w:rightChars="59" w:right="165" w:hangingChars="178" w:hanging="427"/>
              <w:jc w:val="both"/>
            </w:pPr>
            <w:r>
              <w:rPr>
                <w:rFonts w:hint="eastAsia"/>
                <w:sz w:val="24"/>
              </w:rPr>
              <w:t>四、</w:t>
            </w:r>
            <w:r w:rsidR="00C978B0">
              <w:rPr>
                <w:sz w:val="24"/>
              </w:rPr>
              <w:t>其他影響公共秩序之行為。</w:t>
            </w:r>
            <w:r w:rsidR="00C978B0">
              <w:rPr>
                <w:color w:val="333333"/>
                <w:sz w:val="24"/>
              </w:rPr>
              <w:t xml:space="preserve"> </w:t>
            </w:r>
          </w:p>
        </w:tc>
        <w:tc>
          <w:tcPr>
            <w:tcW w:w="2927" w:type="dxa"/>
            <w:vAlign w:val="center"/>
          </w:tcPr>
          <w:p w:rsidR="0098047A" w:rsidRDefault="00C978B0" w:rsidP="002E3D07">
            <w:pPr>
              <w:spacing w:after="0" w:line="259" w:lineRule="auto"/>
              <w:ind w:left="742" w:firstLine="0"/>
              <w:jc w:val="both"/>
            </w:pPr>
            <w:r>
              <w:rPr>
                <w:color w:val="333333"/>
                <w:sz w:val="24"/>
              </w:rPr>
              <w:t xml:space="preserve"> </w:t>
            </w:r>
          </w:p>
        </w:tc>
        <w:tc>
          <w:tcPr>
            <w:tcW w:w="2928" w:type="dxa"/>
          </w:tcPr>
          <w:p w:rsidR="0098047A" w:rsidRPr="00E63E01" w:rsidRDefault="00C978B0" w:rsidP="002E3D07">
            <w:pPr>
              <w:numPr>
                <w:ilvl w:val="0"/>
                <w:numId w:val="4"/>
              </w:numPr>
              <w:spacing w:after="0" w:line="259" w:lineRule="auto"/>
              <w:ind w:left="496" w:rightChars="50" w:right="140" w:hanging="482"/>
              <w:jc w:val="both"/>
              <w:rPr>
                <w:u w:val="single"/>
              </w:rPr>
            </w:pPr>
            <w:r w:rsidRPr="00E63E01">
              <w:rPr>
                <w:color w:val="FF0000"/>
                <w:sz w:val="24"/>
                <w:u w:val="single"/>
              </w:rPr>
              <w:t>本條新增。</w:t>
            </w:r>
            <w:r w:rsidRPr="00E63E01">
              <w:rPr>
                <w:sz w:val="24"/>
                <w:u w:val="single"/>
              </w:rPr>
              <w:t xml:space="preserve"> </w:t>
            </w:r>
          </w:p>
          <w:p w:rsidR="0098047A" w:rsidRDefault="00C978B0" w:rsidP="002E3D07">
            <w:pPr>
              <w:numPr>
                <w:ilvl w:val="0"/>
                <w:numId w:val="4"/>
              </w:numPr>
              <w:spacing w:after="0" w:line="259" w:lineRule="auto"/>
              <w:ind w:left="496" w:rightChars="50" w:right="140" w:hanging="482"/>
              <w:jc w:val="both"/>
            </w:pPr>
            <w:r>
              <w:rPr>
                <w:sz w:val="24"/>
              </w:rPr>
              <w:t xml:space="preserve">為有效確保業者善盡場所管理人員責任，遏止營業場所犯罪行為擴大，爰參酌臺北市、桃園市相關自治條例，規範休閒娛樂服務業者及從業人員發現攜帶違禁物品等影響公共秩序之情事，應即通報警察機關之義務，使警察機關得及早介入，避免事態更趨嚴重。 </w:t>
            </w:r>
          </w:p>
        </w:tc>
      </w:tr>
      <w:tr w:rsidR="002E3D07" w:rsidTr="004F0A3B">
        <w:trPr>
          <w:trHeight w:val="20"/>
        </w:trPr>
        <w:tc>
          <w:tcPr>
            <w:tcW w:w="2927" w:type="dxa"/>
          </w:tcPr>
          <w:p w:rsidR="002E3D07" w:rsidRDefault="002E3D07" w:rsidP="002E3D07">
            <w:pPr>
              <w:spacing w:after="0" w:line="277" w:lineRule="auto"/>
              <w:ind w:left="254" w:rightChars="59" w:right="165" w:hanging="240"/>
              <w:jc w:val="both"/>
            </w:pPr>
            <w:r>
              <w:rPr>
                <w:sz w:val="24"/>
              </w:rPr>
              <w:t>第十三條之一 休閒娛樂服務業之代表人、負責人或</w:t>
            </w:r>
            <w:r>
              <w:rPr>
                <w:sz w:val="24"/>
                <w:u w:val="single" w:color="000000"/>
              </w:rPr>
              <w:t>從業人員</w:t>
            </w:r>
            <w:r>
              <w:rPr>
                <w:sz w:val="24"/>
              </w:rPr>
              <w:t>於其營業場所</w:t>
            </w:r>
            <w:r>
              <w:rPr>
                <w:sz w:val="24"/>
                <w:u w:val="single" w:color="000000"/>
              </w:rPr>
              <w:t>參與鬥毆滋事、</w:t>
            </w:r>
            <w:r>
              <w:rPr>
                <w:sz w:val="24"/>
              </w:rPr>
              <w:t>涉犯提供場所賭博、妨害風化、毒品危害防制條例之罪或其他同類犯罪行為，</w:t>
            </w:r>
            <w:r>
              <w:rPr>
                <w:sz w:val="24"/>
                <w:u w:val="single" w:color="000000"/>
              </w:rPr>
              <w:t>經警察機關查獲移送者</w:t>
            </w:r>
            <w:r>
              <w:rPr>
                <w:sz w:val="24"/>
              </w:rPr>
              <w:t>，</w:t>
            </w:r>
            <w:r>
              <w:rPr>
                <w:sz w:val="24"/>
                <w:u w:val="single" w:color="000000"/>
              </w:rPr>
              <w:t>處休閒娛樂服務業者新臺幣五萬元以上十萬元以下罰鍰；</w:t>
            </w:r>
            <w:r>
              <w:rPr>
                <w:sz w:val="24"/>
              </w:rPr>
              <w:t>經起訴者，主管機關應命其停止營業，其期間為六個月以上二年以下。停止營業期間不受理第四條第一項後段之申請</w:t>
            </w:r>
          </w:p>
          <w:p w:rsidR="002E3D07" w:rsidRDefault="002E3D07" w:rsidP="002E3D07">
            <w:pPr>
              <w:spacing w:after="23" w:line="259" w:lineRule="auto"/>
              <w:ind w:left="298" w:firstLine="0"/>
              <w:jc w:val="both"/>
            </w:pPr>
            <w:r>
              <w:rPr>
                <w:sz w:val="24"/>
              </w:rPr>
              <w:t xml:space="preserve">變更許可。 </w:t>
            </w:r>
          </w:p>
          <w:p w:rsidR="002E3D07" w:rsidRDefault="002E3D07" w:rsidP="008D7077">
            <w:pPr>
              <w:spacing w:after="0" w:line="259" w:lineRule="auto"/>
              <w:ind w:leftChars="109" w:left="305" w:right="111" w:firstLineChars="236" w:firstLine="566"/>
              <w:jc w:val="both"/>
            </w:pPr>
            <w:r>
              <w:rPr>
                <w:sz w:val="24"/>
              </w:rPr>
              <w:t>前項受處分人於停止營業處分合法送達後，拒不履行者，主管</w:t>
            </w:r>
            <w:r>
              <w:rPr>
                <w:sz w:val="24"/>
              </w:rPr>
              <w:lastRenderedPageBreak/>
              <w:t xml:space="preserve">機關得依行政執行法斷絕營業場所之自來水、電力或其他能源。經命停止營業或斷絕營業場所之自來水、電力或其他能源者，不得未經許可擅自接水接電或其他能源。 </w:t>
            </w:r>
          </w:p>
        </w:tc>
        <w:tc>
          <w:tcPr>
            <w:tcW w:w="2927" w:type="dxa"/>
          </w:tcPr>
          <w:p w:rsidR="002E3D07" w:rsidRDefault="002E3D07" w:rsidP="002E3D07">
            <w:pPr>
              <w:spacing w:after="0" w:line="277" w:lineRule="auto"/>
              <w:ind w:left="254" w:rightChars="59" w:right="165" w:hanging="240"/>
              <w:jc w:val="both"/>
            </w:pPr>
            <w:r>
              <w:rPr>
                <w:sz w:val="24"/>
              </w:rPr>
              <w:lastRenderedPageBreak/>
              <w:t>第十三條之一 休閒娛樂服務業之代表人或負責人於其營業場所涉犯提供場所</w:t>
            </w:r>
            <w:r>
              <w:rPr>
                <w:sz w:val="24"/>
                <w:u w:val="single" w:color="000000"/>
              </w:rPr>
              <w:t>之</w:t>
            </w:r>
            <w:r>
              <w:rPr>
                <w:sz w:val="24"/>
              </w:rPr>
              <w:t xml:space="preserve">賭博、妨害風化、毒品危害防制條例之罪或其他同類犯罪行為經起訴者，主管機關應命其停止營業，其期間為六個月以上二年以下。停止營業期間不受理第四條第一項後段之申請變更許可。 </w:t>
            </w:r>
          </w:p>
          <w:p w:rsidR="002E3D07" w:rsidRDefault="002E3D07" w:rsidP="008D7077">
            <w:pPr>
              <w:spacing w:after="0" w:line="259" w:lineRule="auto"/>
              <w:ind w:leftChars="109" w:left="305" w:right="111" w:firstLineChars="236" w:firstLine="566"/>
              <w:jc w:val="both"/>
            </w:pPr>
            <w:r>
              <w:rPr>
                <w:sz w:val="24"/>
              </w:rPr>
              <w:t>前項受處分人於停止營業處分合法送達後，拒不履行者，主管機關得依行政執行法斷絕營業場所之自來水、電力或其他能源。經命停止營業或斷絕營業場所之自來水、電力或其他能源者，不得未經許</w:t>
            </w:r>
            <w:r>
              <w:rPr>
                <w:sz w:val="24"/>
              </w:rPr>
              <w:lastRenderedPageBreak/>
              <w:t xml:space="preserve">可擅自接水接電或其他能源。 </w:t>
            </w:r>
          </w:p>
        </w:tc>
        <w:tc>
          <w:tcPr>
            <w:tcW w:w="2928" w:type="dxa"/>
          </w:tcPr>
          <w:p w:rsidR="002E3D07" w:rsidRDefault="002E3D07" w:rsidP="008D7077">
            <w:pPr>
              <w:spacing w:after="0" w:line="259" w:lineRule="auto"/>
              <w:ind w:left="494" w:rightChars="50" w:right="140" w:hanging="480"/>
              <w:jc w:val="both"/>
            </w:pPr>
            <w:r>
              <w:rPr>
                <w:sz w:val="24"/>
              </w:rPr>
              <w:lastRenderedPageBreak/>
              <w:t xml:space="preserve">一、鑒於休閒娛樂服務業係提供社交、酬飲等人際關係密切之營業場所，惟目前法令僅規範代表人或負責人涉犯提供場所之賭博、妨害風化、毒品危害防制條例之罪或其他同類犯罪行為經起訴之罰則，考量警察機關查辦、檢察機關起訴，時程較長，無法收立即嚇阻之效，且從業人員違法行為並未受規範，為使管理更為周延，爰新增本條文規範對象、犯罪行為，並明定警察機關查獲移送者之罰則。 </w:t>
            </w:r>
          </w:p>
          <w:p w:rsidR="002E3D07" w:rsidRDefault="002E3D07" w:rsidP="002E3D07">
            <w:pPr>
              <w:spacing w:after="0" w:line="259" w:lineRule="auto"/>
              <w:ind w:left="494" w:rightChars="50" w:right="140" w:hanging="480"/>
              <w:jc w:val="both"/>
            </w:pPr>
            <w:r>
              <w:rPr>
                <w:sz w:val="24"/>
              </w:rPr>
              <w:lastRenderedPageBreak/>
              <w:t xml:space="preserve">二、另因警察機關查獲鬥毆事件後，多數逕依違反社會秩序維護法處分，並未移送檢察機關，爰為使管理更臻完善，前項所稱之移送，涵括司法機關或本條例之主管機關。 </w:t>
            </w:r>
          </w:p>
        </w:tc>
      </w:tr>
      <w:tr w:rsidR="0098047A" w:rsidTr="004F0A3B">
        <w:trPr>
          <w:trHeight w:val="20"/>
        </w:trPr>
        <w:tc>
          <w:tcPr>
            <w:tcW w:w="2927" w:type="dxa"/>
          </w:tcPr>
          <w:p w:rsidR="0098047A" w:rsidRDefault="00C978B0" w:rsidP="008D7077">
            <w:pPr>
              <w:spacing w:after="0" w:line="277" w:lineRule="auto"/>
              <w:ind w:left="254" w:rightChars="59" w:right="165" w:hanging="240"/>
              <w:jc w:val="both"/>
            </w:pPr>
            <w:r>
              <w:rPr>
                <w:sz w:val="24"/>
              </w:rPr>
              <w:lastRenderedPageBreak/>
              <w:t xml:space="preserve">第十四條  違反第九條或第十條第一項、第三項及第四項規定者，處休閒娛樂服務業者新臺幣一萬元以上三萬元以下罰鍰，並限期令其改善，屆期未改善者，得按次處罰。 </w:t>
            </w:r>
          </w:p>
          <w:p w:rsidR="0098047A" w:rsidRDefault="00C978B0" w:rsidP="008D7077">
            <w:pPr>
              <w:spacing w:after="0" w:line="259" w:lineRule="auto"/>
              <w:ind w:left="298" w:rightChars="59" w:right="165" w:firstLine="562"/>
              <w:jc w:val="both"/>
            </w:pPr>
            <w:r>
              <w:rPr>
                <w:sz w:val="24"/>
                <w:u w:val="single" w:color="000000"/>
              </w:rPr>
              <w:t>違反第九條之一經警察機關查證屬實，處休閒娛樂服務業者新臺幣五萬元以上十萬以下罰鍰。</w:t>
            </w:r>
            <w:r>
              <w:rPr>
                <w:sz w:val="24"/>
              </w:rPr>
              <w:t xml:space="preserve"> </w:t>
            </w:r>
          </w:p>
        </w:tc>
        <w:tc>
          <w:tcPr>
            <w:tcW w:w="2927" w:type="dxa"/>
          </w:tcPr>
          <w:p w:rsidR="0098047A" w:rsidRDefault="00C978B0" w:rsidP="008D7077">
            <w:pPr>
              <w:spacing w:after="0" w:line="277" w:lineRule="auto"/>
              <w:ind w:left="254" w:rightChars="59" w:right="165" w:hanging="240"/>
              <w:jc w:val="both"/>
            </w:pPr>
            <w:r>
              <w:rPr>
                <w:sz w:val="24"/>
              </w:rPr>
              <w:t>第十四條</w:t>
            </w:r>
            <w:r w:rsidR="008D7077">
              <w:rPr>
                <w:rFonts w:hint="eastAsia"/>
                <w:sz w:val="24"/>
              </w:rPr>
              <w:t xml:space="preserve">　</w:t>
            </w:r>
            <w:r>
              <w:rPr>
                <w:sz w:val="24"/>
              </w:rPr>
              <w:t>違反第九條或第十條第一項、第三項及第四項規定者，處休閒娛樂服務業者新臺幣一萬元以上三萬元以下罰鍰，並限期令其改善，屆期未改善者，得按次處罰。</w:t>
            </w:r>
          </w:p>
        </w:tc>
        <w:tc>
          <w:tcPr>
            <w:tcW w:w="2928" w:type="dxa"/>
          </w:tcPr>
          <w:p w:rsidR="0098047A" w:rsidRDefault="00C978B0" w:rsidP="008D7077">
            <w:pPr>
              <w:spacing w:after="0" w:line="259" w:lineRule="auto"/>
              <w:ind w:left="14" w:rightChars="50" w:right="140" w:firstLine="0"/>
              <w:jc w:val="both"/>
            </w:pPr>
            <w:r>
              <w:rPr>
                <w:sz w:val="24"/>
              </w:rPr>
              <w:t xml:space="preserve">配合第九條之一之增訂，且基於維護公安需要，保障消費者安全，爰增訂休閒娛樂服務業者違反第九條之一之罰則。 </w:t>
            </w:r>
          </w:p>
        </w:tc>
      </w:tr>
    </w:tbl>
    <w:p w:rsidR="0098047A" w:rsidRDefault="00C978B0">
      <w:pPr>
        <w:spacing w:after="0" w:line="259" w:lineRule="auto"/>
        <w:ind w:left="0" w:firstLine="0"/>
        <w:jc w:val="both"/>
        <w:rPr>
          <w:sz w:val="40"/>
        </w:rPr>
      </w:pPr>
      <w:r>
        <w:rPr>
          <w:sz w:val="40"/>
        </w:rPr>
        <w:t xml:space="preserve"> </w:t>
      </w:r>
      <w:r>
        <w:rPr>
          <w:sz w:val="40"/>
        </w:rPr>
        <w:tab/>
        <w:t xml:space="preserve"> </w:t>
      </w:r>
    </w:p>
    <w:p w:rsidR="00762C3F" w:rsidRDefault="00762C3F">
      <w:pPr>
        <w:spacing w:after="0" w:line="240" w:lineRule="auto"/>
        <w:ind w:left="0" w:firstLine="0"/>
        <w:rPr>
          <w:sz w:val="40"/>
        </w:rPr>
      </w:pPr>
      <w:r>
        <w:rPr>
          <w:sz w:val="40"/>
        </w:rPr>
        <w:br w:type="page"/>
      </w:r>
    </w:p>
    <w:p w:rsidR="0098047A" w:rsidRDefault="00C978B0" w:rsidP="00E63E01">
      <w:pPr>
        <w:pStyle w:val="1"/>
        <w:ind w:left="-5"/>
      </w:pPr>
      <w:r>
        <w:lastRenderedPageBreak/>
        <w:t xml:space="preserve">臺中市休閒娛樂服務業管理自治條例第九條之一、第十三條之一、第十四條修正草案 </w:t>
      </w:r>
    </w:p>
    <w:p w:rsidR="00E63E01" w:rsidRDefault="00C978B0" w:rsidP="00E63E01">
      <w:pPr>
        <w:spacing w:line="460" w:lineRule="exact"/>
        <w:ind w:left="1401" w:right="-2" w:hanging="1416"/>
        <w:jc w:val="both"/>
      </w:pPr>
      <w:r>
        <w:t>第九條之一</w:t>
      </w:r>
      <w:r w:rsidR="00E63E01">
        <w:rPr>
          <w:rFonts w:hint="eastAsia"/>
        </w:rPr>
        <w:t xml:space="preserve">　</w:t>
      </w:r>
      <w:r>
        <w:t xml:space="preserve">  休閒娛樂服務業代表人、負責人或從業人員發現有下列情事之一者，應即通報警察機關處理：</w:t>
      </w:r>
    </w:p>
    <w:p w:rsidR="0098047A" w:rsidRDefault="00C978B0" w:rsidP="00E63E01">
      <w:pPr>
        <w:spacing w:line="460" w:lineRule="exact"/>
        <w:ind w:left="1401" w:right="-2" w:firstLine="17"/>
        <w:jc w:val="both"/>
      </w:pPr>
      <w:r>
        <w:rPr>
          <w:color w:val="333333"/>
        </w:rPr>
        <w:t>一、</w:t>
      </w:r>
      <w:r>
        <w:t>攜帶違禁物品。</w:t>
      </w:r>
      <w:r>
        <w:rPr>
          <w:color w:val="333333"/>
        </w:rPr>
        <w:t xml:space="preserve"> </w:t>
      </w:r>
    </w:p>
    <w:p w:rsidR="0098047A" w:rsidRDefault="00E63E01" w:rsidP="00E63E01">
      <w:pPr>
        <w:spacing w:line="460" w:lineRule="exact"/>
        <w:ind w:left="1401" w:right="-2" w:firstLine="17"/>
        <w:jc w:val="both"/>
      </w:pPr>
      <w:r>
        <w:rPr>
          <w:rFonts w:hint="eastAsia"/>
        </w:rPr>
        <w:t>二、</w:t>
      </w:r>
      <w:r w:rsidR="00C978B0">
        <w:t xml:space="preserve">鬥毆或酗酒滋事。 </w:t>
      </w:r>
    </w:p>
    <w:p w:rsidR="0098047A" w:rsidRDefault="00E63E01" w:rsidP="00E63E01">
      <w:pPr>
        <w:spacing w:line="460" w:lineRule="exact"/>
        <w:ind w:left="1401" w:right="-2" w:firstLine="17"/>
        <w:jc w:val="both"/>
      </w:pPr>
      <w:r>
        <w:rPr>
          <w:rFonts w:hint="eastAsia"/>
        </w:rPr>
        <w:t>三、</w:t>
      </w:r>
      <w:r w:rsidR="00C978B0">
        <w:t xml:space="preserve">涉有吸食毒品，行為怪異。 </w:t>
      </w:r>
    </w:p>
    <w:p w:rsidR="0098047A" w:rsidRDefault="00E63E01" w:rsidP="00E63E01">
      <w:pPr>
        <w:spacing w:line="460" w:lineRule="exact"/>
        <w:ind w:left="1401" w:right="-2" w:firstLine="17"/>
        <w:jc w:val="both"/>
      </w:pPr>
      <w:r>
        <w:rPr>
          <w:rFonts w:hint="eastAsia"/>
        </w:rPr>
        <w:t>四、</w:t>
      </w:r>
      <w:r w:rsidR="00C978B0">
        <w:t xml:space="preserve">其他影響公共秩序之行為。 </w:t>
      </w:r>
    </w:p>
    <w:p w:rsidR="0098047A" w:rsidRDefault="00C978B0" w:rsidP="00E63E01">
      <w:pPr>
        <w:spacing w:line="460" w:lineRule="exact"/>
        <w:ind w:left="1701" w:right="-2" w:hanging="1716"/>
        <w:jc w:val="both"/>
      </w:pPr>
      <w:r>
        <w:t xml:space="preserve">第十三條之一  </w:t>
      </w:r>
      <w:r w:rsidR="00E63E01">
        <w:rPr>
          <w:rFonts w:hint="eastAsia"/>
        </w:rPr>
        <w:t xml:space="preserve">　</w:t>
      </w:r>
      <w:r>
        <w:t xml:space="preserve">休閒娛樂服務業之代表人、負責人或從業人員於其營業場所參與鬥毆滋事、涉犯提供場所賭博、妨害風化、毒品危害防制條例之罪或其他同類犯罪行為，經警察機關查獲移送者，處休閒娛樂服務業者新臺幣五萬元以上十萬元以下罰鍰；經起訴者，主管機關應命其停止營業，其期間為六個月以上二年以下。停止營業期間不受理第四條第一項後段之申請變更許可。 </w:t>
      </w:r>
    </w:p>
    <w:p w:rsidR="0098047A" w:rsidRDefault="00C978B0" w:rsidP="00E63E01">
      <w:pPr>
        <w:spacing w:line="460" w:lineRule="exact"/>
        <w:ind w:left="1709"/>
        <w:jc w:val="both"/>
      </w:pPr>
      <w:r>
        <w:t xml:space="preserve">  </w:t>
      </w:r>
      <w:r w:rsidR="00E63E01">
        <w:rPr>
          <w:rFonts w:hint="eastAsia"/>
        </w:rPr>
        <w:t xml:space="preserve">　</w:t>
      </w:r>
      <w:r>
        <w:t xml:space="preserve">前項受處分人於停止營業處分合法送達後，拒不履行者，主管機關得依行政執行法斷絕營業場所之自來水、電力或其他能源。經命停止營業或斷絕營業場所之自來水、電力或其他能源者，不得未經許可擅自接水接電或其他能源。 </w:t>
      </w:r>
    </w:p>
    <w:p w:rsidR="0098047A" w:rsidRDefault="00C978B0" w:rsidP="00E63E01">
      <w:pPr>
        <w:spacing w:line="460" w:lineRule="exact"/>
        <w:ind w:left="1118" w:hanging="1133"/>
        <w:jc w:val="both"/>
      </w:pPr>
      <w:r>
        <w:t>第十四條</w:t>
      </w:r>
      <w:r w:rsidR="00E63E01">
        <w:rPr>
          <w:rFonts w:hint="eastAsia"/>
        </w:rPr>
        <w:t xml:space="preserve">　　</w:t>
      </w:r>
      <w:r>
        <w:t>違反違反第九條或第十條第一項、第三項及第四項規定者，處休閒娛樂服務業者新臺幣一萬元以上三萬元以下罰鍰，並限期令其改善，屆期未改善者，得按次處罰。</w:t>
      </w:r>
    </w:p>
    <w:p w:rsidR="0098047A" w:rsidRDefault="00C978B0" w:rsidP="00E63E01">
      <w:pPr>
        <w:spacing w:line="460" w:lineRule="exact"/>
        <w:ind w:left="1133" w:firstLine="566"/>
        <w:jc w:val="both"/>
      </w:pPr>
      <w:r>
        <w:t xml:space="preserve">違反第九條之一經警察機關查證屬實者，處休閒娛樂服務業者新臺幣五萬元以上十萬以下罰鍰。 </w:t>
      </w:r>
    </w:p>
    <w:sectPr w:rsidR="0098047A" w:rsidSect="002E3D07">
      <w:footerReference w:type="even" r:id="rId7"/>
      <w:footerReference w:type="default" r:id="rId8"/>
      <w:footerReference w:type="first" r:id="rId9"/>
      <w:pgSz w:w="11906" w:h="16838"/>
      <w:pgMar w:top="1418" w:right="1418" w:bottom="1418" w:left="1701" w:header="720" w:footer="991"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801" w:rsidRDefault="00E31801">
      <w:pPr>
        <w:spacing w:after="0" w:line="240" w:lineRule="auto"/>
      </w:pPr>
      <w:r>
        <w:separator/>
      </w:r>
    </w:p>
  </w:endnote>
  <w:endnote w:type="continuationSeparator" w:id="0">
    <w:p w:rsidR="00E31801" w:rsidRDefault="00E31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47A" w:rsidRDefault="00C978B0">
    <w:pPr>
      <w:spacing w:after="0" w:line="259" w:lineRule="auto"/>
      <w:ind w:left="0" w:right="278" w:firstLine="0"/>
      <w:jc w:val="right"/>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rsidR="0098047A" w:rsidRDefault="00C978B0">
    <w:pPr>
      <w:spacing w:after="0" w:line="259" w:lineRule="auto"/>
      <w:ind w:left="0" w:firstLine="0"/>
    </w:pPr>
    <w:r>
      <w:rPr>
        <w:rFonts w:ascii="Calibri" w:eastAsia="Calibri" w:hAnsi="Calibri" w:cs="Calibr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47A" w:rsidRDefault="00C978B0">
    <w:pPr>
      <w:spacing w:after="0" w:line="259" w:lineRule="auto"/>
      <w:ind w:left="0" w:right="278" w:firstLine="0"/>
      <w:jc w:val="right"/>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sidR="002951B0">
      <w:rPr>
        <w:rFonts w:ascii="Calibri" w:eastAsia="Calibri" w:hAnsi="Calibri" w:cs="Calibri"/>
        <w:noProof/>
        <w:sz w:val="20"/>
      </w:rPr>
      <w:t>1</w:t>
    </w:r>
    <w:r>
      <w:rPr>
        <w:rFonts w:ascii="Calibri" w:eastAsia="Calibri" w:hAnsi="Calibri" w:cs="Calibri"/>
        <w:sz w:val="20"/>
      </w:rPr>
      <w:fldChar w:fldCharType="end"/>
    </w:r>
    <w:r>
      <w:rPr>
        <w:rFonts w:ascii="Calibri" w:eastAsia="Calibri" w:hAnsi="Calibri" w:cs="Calibri"/>
        <w:sz w:val="20"/>
      </w:rPr>
      <w:t xml:space="preserve"> </w:t>
    </w:r>
  </w:p>
  <w:p w:rsidR="0098047A" w:rsidRDefault="00C978B0">
    <w:pPr>
      <w:spacing w:after="0" w:line="259" w:lineRule="auto"/>
      <w:ind w:left="0" w:firstLine="0"/>
    </w:pPr>
    <w:r>
      <w:rPr>
        <w:rFonts w:ascii="Calibri" w:eastAsia="Calibri" w:hAnsi="Calibri" w:cs="Calibr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47A" w:rsidRDefault="00C978B0">
    <w:pPr>
      <w:spacing w:after="0" w:line="259" w:lineRule="auto"/>
      <w:ind w:left="0" w:right="278" w:firstLine="0"/>
      <w:jc w:val="right"/>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rsidR="0098047A" w:rsidRDefault="00C978B0">
    <w:pPr>
      <w:spacing w:after="0" w:line="259" w:lineRule="auto"/>
      <w:ind w:left="0" w:firstLine="0"/>
    </w:pPr>
    <w:r>
      <w:rPr>
        <w:rFonts w:ascii="Calibri" w:eastAsia="Calibri" w:hAnsi="Calibri" w:cs="Calibr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801" w:rsidRDefault="00E31801">
      <w:pPr>
        <w:spacing w:after="0" w:line="240" w:lineRule="auto"/>
      </w:pPr>
      <w:r>
        <w:separator/>
      </w:r>
    </w:p>
  </w:footnote>
  <w:footnote w:type="continuationSeparator" w:id="0">
    <w:p w:rsidR="00E31801" w:rsidRDefault="00E318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26D66"/>
    <w:multiLevelType w:val="hybridMultilevel"/>
    <w:tmpl w:val="69322A00"/>
    <w:lvl w:ilvl="0" w:tplc="8614258E">
      <w:start w:val="2"/>
      <w:numFmt w:val="ideographDigital"/>
      <w:lvlText w:val="%1、"/>
      <w:lvlJc w:val="left"/>
      <w:pPr>
        <w:ind w:left="255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370C520E">
      <w:start w:val="1"/>
      <w:numFmt w:val="lowerLetter"/>
      <w:lvlText w:val="%2"/>
      <w:lvlJc w:val="left"/>
      <w:pPr>
        <w:ind w:left="300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5F7A2448">
      <w:start w:val="1"/>
      <w:numFmt w:val="lowerRoman"/>
      <w:lvlText w:val="%3"/>
      <w:lvlJc w:val="left"/>
      <w:pPr>
        <w:ind w:left="372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2198077E">
      <w:start w:val="1"/>
      <w:numFmt w:val="decimal"/>
      <w:lvlText w:val="%4"/>
      <w:lvlJc w:val="left"/>
      <w:pPr>
        <w:ind w:left="444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E9420BE6">
      <w:start w:val="1"/>
      <w:numFmt w:val="lowerLetter"/>
      <w:lvlText w:val="%5"/>
      <w:lvlJc w:val="left"/>
      <w:pPr>
        <w:ind w:left="516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FABCC5C0">
      <w:start w:val="1"/>
      <w:numFmt w:val="lowerRoman"/>
      <w:lvlText w:val="%6"/>
      <w:lvlJc w:val="left"/>
      <w:pPr>
        <w:ind w:left="588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D93ED266">
      <w:start w:val="1"/>
      <w:numFmt w:val="decimal"/>
      <w:lvlText w:val="%7"/>
      <w:lvlJc w:val="left"/>
      <w:pPr>
        <w:ind w:left="660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17B26BD4">
      <w:start w:val="1"/>
      <w:numFmt w:val="lowerLetter"/>
      <w:lvlText w:val="%8"/>
      <w:lvlJc w:val="left"/>
      <w:pPr>
        <w:ind w:left="732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0BA86E06">
      <w:start w:val="1"/>
      <w:numFmt w:val="lowerRoman"/>
      <w:lvlText w:val="%9"/>
      <w:lvlJc w:val="left"/>
      <w:pPr>
        <w:ind w:left="804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1C33B90"/>
    <w:multiLevelType w:val="hybridMultilevel"/>
    <w:tmpl w:val="7924CC3A"/>
    <w:lvl w:ilvl="0" w:tplc="47781F54">
      <w:start w:val="2"/>
      <w:numFmt w:val="ideographDigital"/>
      <w:lvlText w:val="%1、"/>
      <w:lvlJc w:val="left"/>
      <w:pPr>
        <w:ind w:left="73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43FCAE6E">
      <w:start w:val="1"/>
      <w:numFmt w:val="lowerLetter"/>
      <w:lvlText w:val="%2"/>
      <w:lvlJc w:val="left"/>
      <w:pPr>
        <w:ind w:left="14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3F69782">
      <w:start w:val="1"/>
      <w:numFmt w:val="lowerRoman"/>
      <w:lvlText w:val="%3"/>
      <w:lvlJc w:val="left"/>
      <w:pPr>
        <w:ind w:left="21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C99600E6">
      <w:start w:val="1"/>
      <w:numFmt w:val="decimal"/>
      <w:lvlText w:val="%4"/>
      <w:lvlJc w:val="left"/>
      <w:pPr>
        <w:ind w:left="28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B85C1AE4">
      <w:start w:val="1"/>
      <w:numFmt w:val="lowerLetter"/>
      <w:lvlText w:val="%5"/>
      <w:lvlJc w:val="left"/>
      <w:pPr>
        <w:ind w:left="35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1E66A49E">
      <w:start w:val="1"/>
      <w:numFmt w:val="lowerRoman"/>
      <w:lvlText w:val="%6"/>
      <w:lvlJc w:val="left"/>
      <w:pPr>
        <w:ind w:left="43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D3341E20">
      <w:start w:val="1"/>
      <w:numFmt w:val="decimal"/>
      <w:lvlText w:val="%7"/>
      <w:lvlJc w:val="left"/>
      <w:pPr>
        <w:ind w:left="50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3BE8B1CC">
      <w:start w:val="1"/>
      <w:numFmt w:val="lowerLetter"/>
      <w:lvlText w:val="%8"/>
      <w:lvlJc w:val="left"/>
      <w:pPr>
        <w:ind w:left="57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2A28018">
      <w:start w:val="1"/>
      <w:numFmt w:val="lowerRoman"/>
      <w:lvlText w:val="%9"/>
      <w:lvlJc w:val="left"/>
      <w:pPr>
        <w:ind w:left="64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E1D6D20"/>
    <w:multiLevelType w:val="hybridMultilevel"/>
    <w:tmpl w:val="E164552E"/>
    <w:lvl w:ilvl="0" w:tplc="3F5ACDDA">
      <w:start w:val="1"/>
      <w:numFmt w:val="ideographDigital"/>
      <w:lvlText w:val="%1、"/>
      <w:lvlJc w:val="left"/>
      <w:pPr>
        <w:ind w:left="49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lang w:val="en-US"/>
      </w:rPr>
    </w:lvl>
    <w:lvl w:ilvl="1" w:tplc="F4E0F5BA">
      <w:start w:val="1"/>
      <w:numFmt w:val="lowerLetter"/>
      <w:lvlText w:val="%2"/>
      <w:lvlJc w:val="left"/>
      <w:pPr>
        <w:ind w:left="11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83DE807E">
      <w:start w:val="1"/>
      <w:numFmt w:val="lowerRoman"/>
      <w:lvlText w:val="%3"/>
      <w:lvlJc w:val="left"/>
      <w:pPr>
        <w:ind w:left="19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DBCA8556">
      <w:start w:val="1"/>
      <w:numFmt w:val="decimal"/>
      <w:lvlText w:val="%4"/>
      <w:lvlJc w:val="left"/>
      <w:pPr>
        <w:ind w:left="26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AF26CA9A">
      <w:start w:val="1"/>
      <w:numFmt w:val="lowerLetter"/>
      <w:lvlText w:val="%5"/>
      <w:lvlJc w:val="left"/>
      <w:pPr>
        <w:ind w:left="33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0B4F5D2">
      <w:start w:val="1"/>
      <w:numFmt w:val="lowerRoman"/>
      <w:lvlText w:val="%6"/>
      <w:lvlJc w:val="left"/>
      <w:pPr>
        <w:ind w:left="40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37341D52">
      <w:start w:val="1"/>
      <w:numFmt w:val="decimal"/>
      <w:lvlText w:val="%7"/>
      <w:lvlJc w:val="left"/>
      <w:pPr>
        <w:ind w:left="47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28687EAC">
      <w:start w:val="1"/>
      <w:numFmt w:val="lowerLetter"/>
      <w:lvlText w:val="%8"/>
      <w:lvlJc w:val="left"/>
      <w:pPr>
        <w:ind w:left="55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2AEE4818">
      <w:start w:val="1"/>
      <w:numFmt w:val="lowerRoman"/>
      <w:lvlText w:val="%9"/>
      <w:lvlJc w:val="left"/>
      <w:pPr>
        <w:ind w:left="62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A583568"/>
    <w:multiLevelType w:val="hybridMultilevel"/>
    <w:tmpl w:val="273A2D12"/>
    <w:lvl w:ilvl="0" w:tplc="52EC7A62">
      <w:start w:val="1"/>
      <w:numFmt w:val="ideographDigital"/>
      <w:lvlText w:val="%1、"/>
      <w:lvlJc w:val="left"/>
      <w:pPr>
        <w:ind w:left="72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A67A0C68">
      <w:start w:val="1"/>
      <w:numFmt w:val="lowerLetter"/>
      <w:lvlText w:val="%2"/>
      <w:lvlJc w:val="left"/>
      <w:pPr>
        <w:ind w:left="108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4766AA36">
      <w:start w:val="1"/>
      <w:numFmt w:val="lowerRoman"/>
      <w:lvlText w:val="%3"/>
      <w:lvlJc w:val="left"/>
      <w:pPr>
        <w:ind w:left="180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8F36713C">
      <w:start w:val="1"/>
      <w:numFmt w:val="decimal"/>
      <w:lvlText w:val="%4"/>
      <w:lvlJc w:val="left"/>
      <w:pPr>
        <w:ind w:left="252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7124E920">
      <w:start w:val="1"/>
      <w:numFmt w:val="lowerLetter"/>
      <w:lvlText w:val="%5"/>
      <w:lvlJc w:val="left"/>
      <w:pPr>
        <w:ind w:left="324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1A3E0ACE">
      <w:start w:val="1"/>
      <w:numFmt w:val="lowerRoman"/>
      <w:lvlText w:val="%6"/>
      <w:lvlJc w:val="left"/>
      <w:pPr>
        <w:ind w:left="396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E716E5DA">
      <w:start w:val="1"/>
      <w:numFmt w:val="decimal"/>
      <w:lvlText w:val="%7"/>
      <w:lvlJc w:val="left"/>
      <w:pPr>
        <w:ind w:left="468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6F4ACB10">
      <w:start w:val="1"/>
      <w:numFmt w:val="lowerLetter"/>
      <w:lvlText w:val="%8"/>
      <w:lvlJc w:val="left"/>
      <w:pPr>
        <w:ind w:left="540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C4265DAC">
      <w:start w:val="1"/>
      <w:numFmt w:val="lowerRoman"/>
      <w:lvlText w:val="%9"/>
      <w:lvlJc w:val="left"/>
      <w:pPr>
        <w:ind w:left="612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47A"/>
    <w:rsid w:val="002951B0"/>
    <w:rsid w:val="002E3D07"/>
    <w:rsid w:val="004F0A3B"/>
    <w:rsid w:val="00762C3F"/>
    <w:rsid w:val="008D7077"/>
    <w:rsid w:val="0098047A"/>
    <w:rsid w:val="00C978B0"/>
    <w:rsid w:val="00E31801"/>
    <w:rsid w:val="00E63E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E9242F-DCFD-426F-9C01-6A1A375B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302" w:lineRule="auto"/>
      <w:ind w:left="10" w:hanging="10"/>
    </w:pPr>
    <w:rPr>
      <w:rFonts w:ascii="標楷體" w:eastAsia="標楷體" w:hAnsi="標楷體" w:cs="標楷體"/>
      <w:color w:val="000000"/>
      <w:sz w:val="28"/>
    </w:rPr>
  </w:style>
  <w:style w:type="paragraph" w:styleId="1">
    <w:name w:val="heading 1"/>
    <w:next w:val="a"/>
    <w:link w:val="10"/>
    <w:uiPriority w:val="9"/>
    <w:unhideWhenUsed/>
    <w:qFormat/>
    <w:pPr>
      <w:keepNext/>
      <w:keepLines/>
      <w:spacing w:line="259" w:lineRule="auto"/>
      <w:ind w:left="10" w:hanging="10"/>
      <w:outlineLvl w:val="0"/>
    </w:pPr>
    <w:rPr>
      <w:rFonts w:ascii="標楷體" w:eastAsia="標楷體" w:hAnsi="標楷體" w:cs="標楷體"/>
      <w:color w:val="000000"/>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Pr>
      <w:rFonts w:ascii="標楷體" w:eastAsia="標楷體" w:hAnsi="標楷體" w:cs="標楷體"/>
      <w:color w:val="000000"/>
      <w:sz w:val="40"/>
    </w:rPr>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762C3F"/>
    <w:pPr>
      <w:tabs>
        <w:tab w:val="center" w:pos="4153"/>
        <w:tab w:val="right" w:pos="8306"/>
      </w:tabs>
      <w:snapToGrid w:val="0"/>
    </w:pPr>
    <w:rPr>
      <w:sz w:val="20"/>
      <w:szCs w:val="20"/>
    </w:rPr>
  </w:style>
  <w:style w:type="character" w:customStyle="1" w:styleId="a4">
    <w:name w:val="頁首 字元"/>
    <w:basedOn w:val="a0"/>
    <w:link w:val="a3"/>
    <w:uiPriority w:val="99"/>
    <w:rsid w:val="00762C3F"/>
    <w:rPr>
      <w:rFonts w:ascii="標楷體" w:eastAsia="標楷體" w:hAnsi="標楷體" w:cs="標楷體"/>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344</Words>
  <Characters>1967</Characters>
  <Application>Microsoft Office Word</Application>
  <DocSecurity>0</DocSecurity>
  <Lines>16</Lines>
  <Paragraphs>4</Paragraphs>
  <ScaleCrop>false</ScaleCrop>
  <Company>TCCG</Company>
  <LinksUpToDate>false</LinksUpToDate>
  <CharactersWithSpaces>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洪新宜</dc:creator>
  <cp:keywords/>
  <cp:lastModifiedBy>施右容</cp:lastModifiedBy>
  <cp:revision>2</cp:revision>
  <dcterms:created xsi:type="dcterms:W3CDTF">2019-08-21T02:04:00Z</dcterms:created>
  <dcterms:modified xsi:type="dcterms:W3CDTF">2019-08-21T02:04:00Z</dcterms:modified>
</cp:coreProperties>
</file>