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C55" w:rsidRDefault="00A92C55" w:rsidP="00A92C55">
      <w:pPr>
        <w:jc w:val="center"/>
        <w:rPr>
          <w:rFonts w:ascii="標楷體" w:eastAsia="標楷體" w:hAnsi="標楷體"/>
          <w:b/>
          <w:color w:val="000000"/>
          <w:sz w:val="36"/>
          <w:szCs w:val="36"/>
        </w:rPr>
      </w:pPr>
      <w:proofErr w:type="gramStart"/>
      <w:r>
        <w:rPr>
          <w:rFonts w:ascii="標楷體" w:eastAsia="標楷體" w:hAnsi="標楷體" w:hint="eastAsia"/>
          <w:b/>
          <w:color w:val="000000"/>
          <w:sz w:val="36"/>
          <w:szCs w:val="36"/>
        </w:rPr>
        <w:t>臺</w:t>
      </w:r>
      <w:proofErr w:type="gramEnd"/>
      <w:r w:rsidRPr="000D7CB0">
        <w:rPr>
          <w:rFonts w:ascii="標楷體" w:eastAsia="標楷體" w:hAnsi="標楷體" w:hint="eastAsia"/>
          <w:b/>
          <w:color w:val="000000"/>
          <w:sz w:val="36"/>
          <w:szCs w:val="36"/>
        </w:rPr>
        <w:t>中市政府勞工局勞工權益涉訟補助</w:t>
      </w:r>
      <w:r>
        <w:rPr>
          <w:rFonts w:ascii="標楷體" w:eastAsia="標楷體" w:hAnsi="標楷體" w:hint="eastAsia"/>
          <w:b/>
          <w:color w:val="000000"/>
          <w:sz w:val="36"/>
          <w:szCs w:val="36"/>
        </w:rPr>
        <w:t>要點</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一、臺中市政府勞工局(以下簡稱本局)依據「臺中市勞工權益基金收支保管及運用辦法」，為保障勞工權益，增進勞工福祉，協助失業勞工爭取合法權益、保障勞工基本生活，特訂定本</w:t>
      </w:r>
      <w:r>
        <w:rPr>
          <w:rFonts w:ascii="標楷體" w:eastAsia="標楷體" w:hAnsi="標楷體" w:hint="eastAsia"/>
          <w:color w:val="000000"/>
          <w:sz w:val="28"/>
          <w:szCs w:val="28"/>
        </w:rPr>
        <w:t>要點</w:t>
      </w:r>
      <w:r w:rsidRPr="00117E21">
        <w:rPr>
          <w:rFonts w:ascii="標楷體" w:eastAsia="標楷體" w:hAnsi="標楷體" w:hint="eastAsia"/>
          <w:color w:val="000000"/>
          <w:sz w:val="28"/>
          <w:szCs w:val="28"/>
        </w:rPr>
        <w:t>。</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二、補助對象及資格：</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（一）本國籍勞工提供勞務所在地在</w:t>
      </w:r>
      <w:proofErr w:type="gramStart"/>
      <w:r w:rsidRPr="00117E21">
        <w:rPr>
          <w:rFonts w:ascii="標楷體" w:eastAsia="標楷體" w:hAnsi="標楷體" w:hint="eastAsia"/>
          <w:color w:val="000000"/>
          <w:sz w:val="28"/>
          <w:szCs w:val="28"/>
        </w:rPr>
        <w:t>臺</w:t>
      </w:r>
      <w:proofErr w:type="gramEnd"/>
      <w:r w:rsidRPr="00117E21">
        <w:rPr>
          <w:rFonts w:ascii="標楷體" w:eastAsia="標楷體" w:hAnsi="標楷體" w:hint="eastAsia"/>
          <w:color w:val="000000"/>
          <w:sz w:val="28"/>
          <w:szCs w:val="28"/>
        </w:rPr>
        <w:t>中市（以下簡稱本市），</w:t>
      </w:r>
      <w:r>
        <w:rPr>
          <w:rFonts w:ascii="標楷體" w:eastAsia="標楷體" w:hAnsi="標楷體" w:hint="eastAsia"/>
          <w:color w:val="000000"/>
          <w:sz w:val="28"/>
          <w:szCs w:val="28"/>
        </w:rPr>
        <w:t>且</w:t>
      </w:r>
      <w:r w:rsidRPr="00117E21">
        <w:rPr>
          <w:rFonts w:ascii="標楷體" w:eastAsia="標楷體" w:hAnsi="標楷體" w:hint="eastAsia"/>
          <w:color w:val="000000"/>
          <w:sz w:val="28"/>
          <w:szCs w:val="28"/>
        </w:rPr>
        <w:t>設籍在本市四個月以上，且勞資爭議發生時已在同一事業單位工作一年以上</w:t>
      </w:r>
      <w:r>
        <w:rPr>
          <w:rFonts w:ascii="標楷體" w:eastAsia="標楷體" w:hAnsi="標楷體" w:hint="eastAsia"/>
          <w:color w:val="000000"/>
          <w:sz w:val="28"/>
          <w:szCs w:val="28"/>
        </w:rPr>
        <w:t>（</w:t>
      </w:r>
      <w:r w:rsidRPr="00117E21">
        <w:rPr>
          <w:rFonts w:ascii="標楷體" w:eastAsia="標楷體" w:hAnsi="標楷體" w:hint="eastAsia"/>
          <w:color w:val="000000"/>
          <w:sz w:val="28"/>
          <w:szCs w:val="28"/>
        </w:rPr>
        <w:t>職災不受一年限制），因雇主有下列情形之一(本款第5目除外)，並經勞工主管機關或其委託之民間團體勞資爭議協調或調解不成立，或協調或調解成立而雇主未依協調或調解會議之結論履行時</w:t>
      </w:r>
      <w:r>
        <w:rPr>
          <w:rFonts w:ascii="標楷體" w:eastAsia="標楷體" w:hAnsi="標楷體" w:hint="eastAsia"/>
          <w:color w:val="000000"/>
          <w:sz w:val="28"/>
          <w:szCs w:val="28"/>
        </w:rPr>
        <w:t>，並有下列情形之</w:t>
      </w:r>
      <w:proofErr w:type="gramStart"/>
      <w:r>
        <w:rPr>
          <w:rFonts w:ascii="標楷體" w:eastAsia="標楷體" w:hAnsi="標楷體" w:hint="eastAsia"/>
          <w:color w:val="000000"/>
          <w:sz w:val="28"/>
          <w:szCs w:val="28"/>
        </w:rPr>
        <w:t>一</w:t>
      </w:r>
      <w:proofErr w:type="gramEnd"/>
      <w:r>
        <w:rPr>
          <w:rFonts w:ascii="標楷體" w:eastAsia="標楷體" w:hAnsi="標楷體" w:hint="eastAsia"/>
          <w:color w:val="000000"/>
          <w:sz w:val="28"/>
          <w:szCs w:val="28"/>
        </w:rPr>
        <w:t>者</w:t>
      </w:r>
      <w:r w:rsidRPr="00117E21">
        <w:rPr>
          <w:rFonts w:ascii="標楷體" w:eastAsia="標楷體" w:hAnsi="標楷體" w:hint="eastAsia"/>
          <w:color w:val="000000"/>
          <w:sz w:val="28"/>
          <w:szCs w:val="28"/>
        </w:rPr>
        <w:t>，得向本局申請補助訴訟費用或</w:t>
      </w:r>
      <w:proofErr w:type="gramStart"/>
      <w:r w:rsidRPr="00117E21">
        <w:rPr>
          <w:rFonts w:ascii="標楷體" w:eastAsia="標楷體" w:hAnsi="標楷體" w:hint="eastAsia"/>
          <w:color w:val="000000"/>
          <w:sz w:val="28"/>
          <w:szCs w:val="28"/>
        </w:rPr>
        <w:t>撰狀費</w:t>
      </w:r>
      <w:proofErr w:type="gramEnd"/>
      <w:r w:rsidRPr="00117E21">
        <w:rPr>
          <w:rFonts w:ascii="標楷體" w:eastAsia="標楷體" w:hAnsi="標楷體" w:hint="eastAsia"/>
          <w:color w:val="000000"/>
          <w:sz w:val="28"/>
          <w:szCs w:val="28"/>
        </w:rPr>
        <w:t>、存證信函費用：</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1、</w:t>
      </w:r>
      <w:r w:rsidRPr="00117E21">
        <w:rPr>
          <w:rFonts w:ascii="標楷體" w:eastAsia="標楷體" w:hAnsi="標楷體" w:hint="eastAsia"/>
          <w:color w:val="000000"/>
          <w:sz w:val="28"/>
          <w:szCs w:val="28"/>
        </w:rPr>
        <w:t>勞工遭雇主非法解僱，雇主未回復</w:t>
      </w:r>
      <w:proofErr w:type="gramStart"/>
      <w:r w:rsidRPr="00117E21">
        <w:rPr>
          <w:rFonts w:ascii="標楷體" w:eastAsia="標楷體" w:hAnsi="標楷體" w:hint="eastAsia"/>
          <w:color w:val="000000"/>
          <w:sz w:val="28"/>
          <w:szCs w:val="28"/>
        </w:rPr>
        <w:t>僱傭</w:t>
      </w:r>
      <w:proofErr w:type="gramEnd"/>
      <w:r w:rsidRPr="00117E21">
        <w:rPr>
          <w:rFonts w:ascii="標楷體" w:eastAsia="標楷體" w:hAnsi="標楷體" w:hint="eastAsia"/>
          <w:color w:val="000000"/>
          <w:sz w:val="28"/>
          <w:szCs w:val="28"/>
        </w:rPr>
        <w:t>關係且未給付回復前之工資而涉訟者。</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2、</w:t>
      </w:r>
      <w:r w:rsidRPr="00117E21">
        <w:rPr>
          <w:rFonts w:ascii="標楷體" w:eastAsia="標楷體" w:hAnsi="標楷體" w:hint="eastAsia"/>
          <w:color w:val="000000"/>
          <w:sz w:val="28"/>
          <w:szCs w:val="28"/>
        </w:rPr>
        <w:t>事業單位經勞工主管機關性別工作平等會審定違反性別工作平等法，勞工依該法向事業單位提出損害賠償或回復名譽之適當處分而涉訟者。</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3、</w:t>
      </w:r>
      <w:r w:rsidRPr="00117E21">
        <w:rPr>
          <w:rFonts w:ascii="標楷體" w:eastAsia="標楷體" w:hAnsi="標楷體" w:hint="eastAsia"/>
          <w:color w:val="000000"/>
          <w:sz w:val="28"/>
          <w:szCs w:val="28"/>
        </w:rPr>
        <w:t>勞工遭雇主積欠工資6個月以上，尚未獲得工資墊償而涉訟者。</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4、</w:t>
      </w:r>
      <w:r w:rsidRPr="00117E21">
        <w:rPr>
          <w:rFonts w:ascii="標楷體" w:eastAsia="標楷體" w:hAnsi="標楷體" w:hint="eastAsia"/>
          <w:color w:val="000000"/>
          <w:sz w:val="28"/>
          <w:szCs w:val="28"/>
        </w:rPr>
        <w:t>雇主未依規定替勞工加保勞工保險、就業保險或提繳退休金6個月以上而涉訟者。</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5、</w:t>
      </w:r>
      <w:r w:rsidRPr="00117E21">
        <w:rPr>
          <w:rFonts w:ascii="標楷體" w:eastAsia="標楷體" w:hAnsi="標楷體" w:hint="eastAsia"/>
          <w:color w:val="000000"/>
          <w:sz w:val="28"/>
          <w:szCs w:val="28"/>
        </w:rPr>
        <w:t>依據行政院勞工委員會「勞資爭議法律及生活費用扶助辦法」得不經調解程序情形之不當勞動行為裁決委員會裁決認定雇主有不當勞動行為，雇主仍以勞工為被告提起訴訟而涉訟者。</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6、</w:t>
      </w:r>
      <w:r w:rsidRPr="00117E21">
        <w:rPr>
          <w:rFonts w:ascii="標楷體" w:eastAsia="標楷體" w:hAnsi="標楷體" w:hint="eastAsia"/>
          <w:color w:val="000000"/>
          <w:sz w:val="28"/>
          <w:szCs w:val="28"/>
        </w:rPr>
        <w:t>勞工非自願離職，雇主未依法給付資遣費或退休金而涉訟者。</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7、</w:t>
      </w:r>
      <w:r w:rsidRPr="00117E21">
        <w:rPr>
          <w:rFonts w:ascii="標楷體" w:eastAsia="標楷體" w:hAnsi="標楷體" w:hint="eastAsia"/>
          <w:color w:val="000000"/>
          <w:sz w:val="28"/>
          <w:szCs w:val="28"/>
        </w:rPr>
        <w:t>雇主因勞工遭遇職業災害而非法終止契約，致工作權喪失而涉訟者。</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8、</w:t>
      </w:r>
      <w:r w:rsidRPr="00117E21">
        <w:rPr>
          <w:rFonts w:ascii="標楷體" w:eastAsia="標楷體" w:hAnsi="標楷體" w:hint="eastAsia"/>
          <w:color w:val="000000"/>
          <w:sz w:val="28"/>
          <w:szCs w:val="28"/>
        </w:rPr>
        <w:t>勞工因遭遇職業災害致傷病、殘廢或死亡，雇主未依勞動基準法及相關法令規定給付職業災害</w:t>
      </w:r>
      <w:proofErr w:type="gramStart"/>
      <w:r w:rsidRPr="00117E21">
        <w:rPr>
          <w:rFonts w:ascii="標楷體" w:eastAsia="標楷體" w:hAnsi="標楷體" w:hint="eastAsia"/>
          <w:color w:val="000000"/>
          <w:sz w:val="28"/>
          <w:szCs w:val="28"/>
        </w:rPr>
        <w:t>補償暨依職業</w:t>
      </w:r>
      <w:proofErr w:type="gramEnd"/>
      <w:r w:rsidRPr="00117E21">
        <w:rPr>
          <w:rFonts w:ascii="標楷體" w:eastAsia="標楷體" w:hAnsi="標楷體" w:hint="eastAsia"/>
          <w:color w:val="000000"/>
          <w:sz w:val="28"/>
          <w:szCs w:val="28"/>
        </w:rPr>
        <w:t>災害勞工保護法請求損害賠償等相關費用而涉訟者。</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lastRenderedPageBreak/>
        <w:t xml:space="preserve"> 9、</w:t>
      </w:r>
      <w:r w:rsidRPr="00117E21">
        <w:rPr>
          <w:rFonts w:ascii="標楷體" w:eastAsia="標楷體" w:hAnsi="標楷體" w:hint="eastAsia"/>
          <w:color w:val="000000"/>
          <w:sz w:val="28"/>
          <w:szCs w:val="28"/>
        </w:rPr>
        <w:t>因雇主違反勞工安全</w:t>
      </w:r>
      <w:proofErr w:type="gramStart"/>
      <w:r w:rsidRPr="00117E21">
        <w:rPr>
          <w:rFonts w:ascii="標楷體" w:eastAsia="標楷體" w:hAnsi="標楷體" w:hint="eastAsia"/>
          <w:color w:val="000000"/>
          <w:sz w:val="28"/>
          <w:szCs w:val="28"/>
        </w:rPr>
        <w:t>衛生法致勞工</w:t>
      </w:r>
      <w:proofErr w:type="gramEnd"/>
      <w:r w:rsidRPr="00117E21">
        <w:rPr>
          <w:rFonts w:ascii="標楷體" w:eastAsia="標楷體" w:hAnsi="標楷體" w:hint="eastAsia"/>
          <w:color w:val="000000"/>
          <w:sz w:val="28"/>
          <w:szCs w:val="28"/>
        </w:rPr>
        <w:t>發生職業災害，經提起刑事告訴者。</w:t>
      </w:r>
    </w:p>
    <w:p w:rsidR="00A92C55" w:rsidRDefault="005907FE" w:rsidP="005907FE">
      <w:pPr>
        <w:spacing w:line="460" w:lineRule="exact"/>
        <w:ind w:leftChars="-174" w:left="142"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A92C55" w:rsidRPr="00117E21">
        <w:rPr>
          <w:rFonts w:ascii="標楷體" w:eastAsia="標楷體" w:hAnsi="標楷體" w:hint="eastAsia"/>
          <w:color w:val="000000"/>
          <w:sz w:val="28"/>
          <w:szCs w:val="28"/>
        </w:rPr>
        <w:t>本款之申請</w:t>
      </w:r>
      <w:r w:rsidR="00A92C55" w:rsidRPr="005907FE">
        <w:rPr>
          <w:rFonts w:ascii="標楷體" w:eastAsia="標楷體" w:hAnsi="標楷體" w:hint="eastAsia"/>
          <w:color w:val="000000"/>
          <w:sz w:val="28"/>
          <w:szCs w:val="28"/>
        </w:rPr>
        <w:t>應於勞工主管機關或其委託之民間團體召開勞資爭議調解不成立或調解成立而雇主未依調解會議之結論履行</w:t>
      </w:r>
      <w:r w:rsidR="00A92C55" w:rsidRPr="00117E21">
        <w:rPr>
          <w:rFonts w:ascii="標楷體" w:eastAsia="標楷體" w:hAnsi="標楷體" w:hint="eastAsia"/>
          <w:color w:val="000000"/>
          <w:sz w:val="28"/>
          <w:szCs w:val="28"/>
        </w:rPr>
        <w:t>後五年內為之，逾期不受理。</w:t>
      </w:r>
    </w:p>
    <w:p w:rsidR="00A92C55" w:rsidRPr="005907FE" w:rsidRDefault="00A92C55" w:rsidP="00A92C55">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（二）訴訟</w:t>
      </w:r>
      <w:bookmarkStart w:id="0" w:name="_GoBack"/>
      <w:bookmarkEnd w:id="0"/>
      <w:r w:rsidRPr="00117E21">
        <w:rPr>
          <w:rFonts w:ascii="標楷體" w:eastAsia="標楷體" w:hAnsi="標楷體" w:hint="eastAsia"/>
          <w:color w:val="000000"/>
          <w:sz w:val="28"/>
          <w:szCs w:val="28"/>
        </w:rPr>
        <w:t>期間之急難生活補助對象需符合前款之補助要件</w:t>
      </w:r>
      <w:r w:rsidRPr="00561901">
        <w:rPr>
          <w:rFonts w:ascii="標楷體" w:eastAsia="標楷體" w:hAnsi="標楷體" w:hint="eastAsia"/>
          <w:color w:val="000000"/>
          <w:sz w:val="28"/>
          <w:szCs w:val="28"/>
        </w:rPr>
        <w:t>，目前未就業且經評估生活困難</w:t>
      </w:r>
      <w:r>
        <w:rPr>
          <w:rFonts w:ascii="標楷體" w:eastAsia="標楷體" w:hAnsi="標楷體" w:hint="eastAsia"/>
          <w:color w:val="000000"/>
          <w:sz w:val="28"/>
          <w:szCs w:val="28"/>
        </w:rPr>
        <w:t>者</w:t>
      </w:r>
      <w:r w:rsidRPr="00561901">
        <w:rPr>
          <w:rFonts w:ascii="標楷體" w:eastAsia="標楷體" w:hAnsi="標楷體" w:hint="eastAsia"/>
          <w:color w:val="000000"/>
          <w:sz w:val="28"/>
          <w:szCs w:val="28"/>
        </w:rPr>
        <w:t>。</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三、補助內容及標準：</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（一）訴訟費用補助：</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1、勞工個別申請</w:t>
      </w:r>
      <w:r w:rsidRPr="00117E21">
        <w:rPr>
          <w:rFonts w:ascii="標楷體" w:eastAsia="標楷體" w:hAnsi="標楷體"/>
          <w:color w:val="000000"/>
          <w:sz w:val="28"/>
          <w:szCs w:val="28"/>
        </w:rPr>
        <w:t>民事</w:t>
      </w:r>
      <w:r w:rsidRPr="00117E21">
        <w:rPr>
          <w:rFonts w:ascii="標楷體" w:eastAsia="標楷體" w:hAnsi="標楷體" w:hint="eastAsia"/>
          <w:color w:val="000000"/>
          <w:sz w:val="28"/>
          <w:szCs w:val="28"/>
        </w:rPr>
        <w:t>或刑事</w:t>
      </w:r>
      <w:r w:rsidRPr="00117E21">
        <w:rPr>
          <w:rFonts w:ascii="標楷體" w:eastAsia="標楷體" w:hAnsi="標楷體"/>
          <w:color w:val="000000"/>
          <w:sz w:val="28"/>
          <w:szCs w:val="28"/>
        </w:rPr>
        <w:t>訴訟程序</w:t>
      </w:r>
      <w:r w:rsidRPr="00117E21">
        <w:rPr>
          <w:rFonts w:ascii="標楷體" w:eastAsia="標楷體" w:hAnsi="標楷體" w:hint="eastAsia"/>
          <w:color w:val="000000"/>
          <w:sz w:val="28"/>
          <w:szCs w:val="28"/>
        </w:rPr>
        <w:t>者，每案（不分審級及訴訟終結方式）補助總金額最高以新臺幣(以下同)5萬元為限。同一事業單位或其分支機構因同一事件而涉訟之勞工人數在2人以上，其申請補助，應以集體訴訟方式為之，2人共同提出訴訟，每案不分審級最高補助總金額為新10萬元整，3人以上每案不分審級最高補助總金額為15萬元整，4人以上每案不分審級最高補助總金額為20萬元整，但每案訴訟標的金額應在50萬元以上，有重大勞資爭議或其他特殊情形經本局審核小組審核認定者，不在此限。</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2、</w:t>
      </w:r>
      <w:r w:rsidRPr="00117E21">
        <w:rPr>
          <w:rFonts w:ascii="標楷體" w:eastAsia="標楷體" w:hAnsi="標楷體"/>
          <w:color w:val="000000"/>
          <w:sz w:val="28"/>
          <w:szCs w:val="28"/>
        </w:rPr>
        <w:t>申請保全程序者，全案最高補助</w:t>
      </w:r>
      <w:r w:rsidRPr="00117E21">
        <w:rPr>
          <w:rFonts w:ascii="標楷體" w:eastAsia="標楷體" w:hAnsi="標楷體" w:hint="eastAsia"/>
          <w:color w:val="000000"/>
          <w:sz w:val="28"/>
          <w:szCs w:val="28"/>
        </w:rPr>
        <w:t>3</w:t>
      </w:r>
      <w:r w:rsidRPr="00117E21">
        <w:rPr>
          <w:rFonts w:ascii="標楷體" w:eastAsia="標楷體" w:hAnsi="標楷體"/>
          <w:color w:val="000000"/>
          <w:sz w:val="28"/>
          <w:szCs w:val="28"/>
        </w:rPr>
        <w:t>萬元。</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3、</w:t>
      </w:r>
      <w:r w:rsidRPr="00117E21">
        <w:rPr>
          <w:rFonts w:ascii="標楷體" w:eastAsia="標楷體" w:hAnsi="標楷體"/>
          <w:color w:val="000000"/>
          <w:sz w:val="28"/>
          <w:szCs w:val="28"/>
        </w:rPr>
        <w:t>申請督促程序者，全案最高補助</w:t>
      </w:r>
      <w:r w:rsidRPr="00117E21">
        <w:rPr>
          <w:rFonts w:ascii="標楷體" w:eastAsia="標楷體" w:hAnsi="標楷體" w:hint="eastAsia"/>
          <w:color w:val="000000"/>
          <w:sz w:val="28"/>
          <w:szCs w:val="28"/>
        </w:rPr>
        <w:t>1</w:t>
      </w:r>
      <w:r w:rsidRPr="00117E21">
        <w:rPr>
          <w:rFonts w:ascii="標楷體" w:eastAsia="標楷體" w:hAnsi="標楷體"/>
          <w:color w:val="000000"/>
          <w:sz w:val="28"/>
          <w:szCs w:val="28"/>
        </w:rPr>
        <w:t>萬元。</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4、</w:t>
      </w:r>
      <w:r w:rsidRPr="00117E21">
        <w:rPr>
          <w:rFonts w:ascii="標楷體" w:eastAsia="標楷體" w:hAnsi="標楷體"/>
          <w:color w:val="000000"/>
          <w:sz w:val="28"/>
          <w:szCs w:val="28"/>
        </w:rPr>
        <w:t>申請強制執行程序者，全案最高補助</w:t>
      </w:r>
      <w:r w:rsidRPr="00117E21">
        <w:rPr>
          <w:rFonts w:ascii="標楷體" w:eastAsia="標楷體" w:hAnsi="標楷體" w:hint="eastAsia"/>
          <w:color w:val="000000"/>
          <w:sz w:val="28"/>
          <w:szCs w:val="28"/>
        </w:rPr>
        <w:t>4</w:t>
      </w:r>
      <w:r w:rsidRPr="00117E21">
        <w:rPr>
          <w:rFonts w:ascii="標楷體" w:eastAsia="標楷體" w:hAnsi="標楷體"/>
          <w:color w:val="000000"/>
          <w:sz w:val="28"/>
          <w:szCs w:val="28"/>
        </w:rPr>
        <w:t>萬元。</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（二）</w:t>
      </w:r>
      <w:proofErr w:type="gramStart"/>
      <w:r w:rsidRPr="00117E21">
        <w:rPr>
          <w:rFonts w:ascii="標楷體" w:eastAsia="標楷體" w:hAnsi="標楷體" w:hint="eastAsia"/>
          <w:color w:val="000000"/>
          <w:sz w:val="28"/>
          <w:szCs w:val="28"/>
        </w:rPr>
        <w:t>撰狀費</w:t>
      </w:r>
      <w:proofErr w:type="gramEnd"/>
      <w:r w:rsidRPr="00117E21">
        <w:rPr>
          <w:rFonts w:ascii="標楷體" w:eastAsia="標楷體" w:hAnsi="標楷體" w:hint="eastAsia"/>
          <w:color w:val="000000"/>
          <w:sz w:val="28"/>
          <w:szCs w:val="28"/>
        </w:rPr>
        <w:t>、存證信函費：</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1、每案各項費用最高補助6,000元。</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hint="eastAsia"/>
          <w:color w:val="000000"/>
          <w:sz w:val="28"/>
          <w:szCs w:val="28"/>
        </w:rPr>
        <w:t>2、同一案件如已申請本款補助（撰狀費、存證信函費），又再申請前款訴訟費用補助第1目之補助，經審查合格者，應先扣除本款補助金額後，再補助其差額。</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sidRPr="00117E21">
        <w:rPr>
          <w:rFonts w:ascii="標楷體" w:eastAsia="標楷體" w:hAnsi="標楷體" w:hint="eastAsia"/>
          <w:color w:val="000000"/>
          <w:sz w:val="28"/>
          <w:szCs w:val="28"/>
        </w:rPr>
        <w:t>（三）勞工實際支付訴訟費用未超過前二款之補助標準者，以實際支付費用補助，且每人以補助</w:t>
      </w:r>
      <w:r w:rsidRPr="004B707F">
        <w:rPr>
          <w:rFonts w:ascii="標楷體" w:eastAsia="標楷體" w:hAnsi="標楷體" w:hint="eastAsia"/>
          <w:color w:val="FF0000"/>
          <w:sz w:val="28"/>
          <w:szCs w:val="28"/>
        </w:rPr>
        <w:t>最高5萬元</w:t>
      </w:r>
      <w:r w:rsidRPr="00117E21">
        <w:rPr>
          <w:rFonts w:ascii="標楷體" w:eastAsia="標楷體" w:hAnsi="標楷體" w:hint="eastAsia"/>
          <w:color w:val="000000"/>
          <w:sz w:val="28"/>
          <w:szCs w:val="28"/>
        </w:rPr>
        <w:t>為限。</w:t>
      </w:r>
    </w:p>
    <w:p w:rsidR="00A92C55" w:rsidRPr="00117E21" w:rsidRDefault="00A92C55" w:rsidP="00CD1D33">
      <w:pPr>
        <w:spacing w:line="460" w:lineRule="exact"/>
        <w:ind w:leftChars="-59" w:left="558" w:hangingChars="250" w:hanging="700"/>
        <w:rPr>
          <w:rFonts w:ascii="標楷體" w:eastAsia="標楷體" w:hAnsi="標楷體"/>
          <w:color w:val="000000"/>
          <w:sz w:val="28"/>
          <w:szCs w:val="28"/>
        </w:rPr>
      </w:pPr>
      <w:r w:rsidRPr="00117E21">
        <w:rPr>
          <w:rFonts w:ascii="標楷體" w:eastAsia="標楷體" w:hAnsi="標楷體" w:hint="eastAsia"/>
          <w:color w:val="000000"/>
          <w:sz w:val="28"/>
          <w:szCs w:val="28"/>
        </w:rPr>
        <w:t>（四）訴訟期間之急難生活補助：</w:t>
      </w:r>
    </w:p>
    <w:p w:rsidR="009C3A5C" w:rsidRPr="00CD1D33" w:rsidRDefault="00A92C55" w:rsidP="00CD1D33">
      <w:pPr>
        <w:pStyle w:val="a7"/>
        <w:numPr>
          <w:ilvl w:val="0"/>
          <w:numId w:val="3"/>
        </w:numPr>
        <w:spacing w:line="460" w:lineRule="exact"/>
        <w:ind w:leftChars="0"/>
        <w:rPr>
          <w:rFonts w:ascii="標楷體" w:eastAsia="標楷體" w:hAnsi="標楷體"/>
          <w:color w:val="000000"/>
          <w:sz w:val="28"/>
          <w:szCs w:val="28"/>
        </w:rPr>
      </w:pPr>
      <w:r w:rsidRPr="00CD1D33">
        <w:rPr>
          <w:rFonts w:ascii="標楷體" w:eastAsia="標楷體" w:hAnsi="標楷體" w:hint="eastAsia"/>
          <w:color w:val="000000"/>
          <w:sz w:val="28"/>
          <w:szCs w:val="28"/>
        </w:rPr>
        <w:t>請領急難生活補助者，經評估生活困難者，每次以2個月為</w:t>
      </w:r>
      <w:proofErr w:type="gramStart"/>
      <w:r w:rsidRPr="00CD1D33">
        <w:rPr>
          <w:rFonts w:ascii="標楷體" w:eastAsia="標楷體" w:hAnsi="標楷體" w:hint="eastAsia"/>
          <w:color w:val="000000"/>
          <w:sz w:val="28"/>
          <w:szCs w:val="28"/>
        </w:rPr>
        <w:t>期間，</w:t>
      </w:r>
      <w:proofErr w:type="gramEnd"/>
      <w:r w:rsidRPr="00CD1D33">
        <w:rPr>
          <w:rFonts w:ascii="標楷體" w:eastAsia="標楷體" w:hAnsi="標楷體" w:hint="eastAsia"/>
          <w:color w:val="000000"/>
          <w:sz w:val="28"/>
          <w:szCs w:val="28"/>
        </w:rPr>
        <w:lastRenderedPageBreak/>
        <w:t>如再經評估生活困難者，始得繼續請領急難生活補助，每人每年最長以補助4個月為限。</w:t>
      </w:r>
    </w:p>
    <w:p w:rsidR="00CD1D33" w:rsidRDefault="00A92C55" w:rsidP="00CD1D33">
      <w:pPr>
        <w:pStyle w:val="a7"/>
        <w:numPr>
          <w:ilvl w:val="0"/>
          <w:numId w:val="3"/>
        </w:numPr>
        <w:spacing w:line="460" w:lineRule="exact"/>
        <w:ind w:leftChars="0"/>
        <w:rPr>
          <w:rFonts w:ascii="標楷體" w:eastAsia="標楷體" w:hAnsi="標楷體"/>
          <w:color w:val="000000"/>
          <w:sz w:val="28"/>
          <w:szCs w:val="28"/>
        </w:rPr>
      </w:pPr>
      <w:r w:rsidRPr="00CD1D33">
        <w:rPr>
          <w:rFonts w:ascii="標楷體" w:eastAsia="標楷體" w:hAnsi="標楷體" w:hint="eastAsia"/>
          <w:color w:val="000000"/>
          <w:sz w:val="28"/>
          <w:szCs w:val="28"/>
        </w:rPr>
        <w:t>生活困難參考指標：</w:t>
      </w:r>
    </w:p>
    <w:p w:rsidR="00CD1D33" w:rsidRDefault="009C3A5C" w:rsidP="00CD1D33">
      <w:pPr>
        <w:spacing w:line="460" w:lineRule="exact"/>
        <w:rPr>
          <w:rFonts w:ascii="標楷體" w:eastAsia="標楷體" w:hAnsi="標楷體"/>
          <w:color w:val="000000"/>
          <w:sz w:val="28"/>
          <w:szCs w:val="28"/>
        </w:rPr>
      </w:pPr>
      <w:r w:rsidRPr="00CD1D33">
        <w:rPr>
          <w:rFonts w:ascii="標楷體" w:eastAsia="標楷體" w:hAnsi="標楷體" w:hint="eastAsia"/>
          <w:color w:val="000000"/>
          <w:sz w:val="28"/>
          <w:szCs w:val="28"/>
        </w:rPr>
        <w:t>（1）申請者需為家庭主要經濟負擔者。</w:t>
      </w:r>
    </w:p>
    <w:p w:rsidR="00CD1D33" w:rsidRDefault="009C3A5C" w:rsidP="00CD1D33">
      <w:pPr>
        <w:spacing w:line="460" w:lineRule="exact"/>
        <w:rPr>
          <w:rFonts w:ascii="標楷體" w:eastAsia="標楷體" w:hAnsi="標楷體"/>
          <w:color w:val="000000"/>
          <w:sz w:val="28"/>
          <w:szCs w:val="28"/>
        </w:rPr>
      </w:pPr>
      <w:r w:rsidRPr="00CD1D33">
        <w:rPr>
          <w:rFonts w:ascii="標楷體" w:eastAsia="標楷體" w:hAnsi="標楷體" w:hint="eastAsia"/>
          <w:color w:val="000000"/>
          <w:sz w:val="28"/>
          <w:szCs w:val="28"/>
        </w:rPr>
        <w:t>（2）薪資所得需為家庭總收入90%（含）以上者。</w:t>
      </w:r>
    </w:p>
    <w:p w:rsidR="009C3A5C" w:rsidRPr="00CD1D33" w:rsidRDefault="009C3A5C" w:rsidP="00CD1D33">
      <w:pPr>
        <w:spacing w:line="460" w:lineRule="exact"/>
        <w:ind w:left="708" w:hangingChars="253" w:hanging="708"/>
        <w:rPr>
          <w:rFonts w:ascii="標楷體" w:eastAsia="標楷體" w:hAnsi="標楷體"/>
          <w:color w:val="000000"/>
          <w:sz w:val="28"/>
          <w:szCs w:val="28"/>
        </w:rPr>
      </w:pPr>
      <w:r w:rsidRPr="00CD1D33">
        <w:rPr>
          <w:rFonts w:ascii="標楷體" w:eastAsia="標楷體" w:hAnsi="標楷體" w:hint="eastAsia"/>
          <w:color w:val="000000"/>
          <w:sz w:val="28"/>
          <w:szCs w:val="28"/>
        </w:rPr>
        <w:t>（3</w:t>
      </w:r>
      <w:r w:rsidRPr="00CD1D33">
        <w:rPr>
          <w:rFonts w:ascii="標楷體" w:eastAsia="標楷體" w:hAnsi="標楷體"/>
          <w:color w:val="000000"/>
          <w:sz w:val="28"/>
          <w:szCs w:val="28"/>
        </w:rPr>
        <w:t>）</w:t>
      </w:r>
      <w:r w:rsidRPr="00CD1D33">
        <w:rPr>
          <w:rFonts w:ascii="標楷體" w:eastAsia="標楷體" w:hAnsi="標楷體" w:hint="eastAsia"/>
          <w:color w:val="000000"/>
          <w:sz w:val="28"/>
          <w:szCs w:val="28"/>
        </w:rPr>
        <w:t>以財政部財稅資料中心提供最近半年度資料，申請人及其配偶最近</w:t>
      </w:r>
      <w:proofErr w:type="gramStart"/>
      <w:r w:rsidRPr="00CD1D33">
        <w:rPr>
          <w:rFonts w:ascii="標楷體" w:eastAsia="標楷體" w:hAnsi="標楷體" w:hint="eastAsia"/>
          <w:color w:val="000000"/>
          <w:sz w:val="28"/>
          <w:szCs w:val="28"/>
        </w:rPr>
        <w:t>一</w:t>
      </w:r>
      <w:proofErr w:type="gramEnd"/>
      <w:r w:rsidRPr="00CD1D33">
        <w:rPr>
          <w:rFonts w:ascii="標楷體" w:eastAsia="標楷體" w:hAnsi="標楷體" w:hint="eastAsia"/>
          <w:color w:val="000000"/>
          <w:sz w:val="28"/>
          <w:szCs w:val="28"/>
        </w:rPr>
        <w:t>年度綜合所得總額在114萬元以下者。</w:t>
      </w:r>
    </w:p>
    <w:p w:rsidR="00A92C55" w:rsidRPr="00CD1D33" w:rsidRDefault="009C3A5C" w:rsidP="00CD1D33">
      <w:pPr>
        <w:pStyle w:val="a7"/>
        <w:numPr>
          <w:ilvl w:val="0"/>
          <w:numId w:val="3"/>
        </w:numPr>
        <w:spacing w:line="460" w:lineRule="exact"/>
        <w:ind w:leftChars="0"/>
        <w:rPr>
          <w:rFonts w:ascii="標楷體" w:eastAsia="標楷體" w:hAnsi="標楷體"/>
          <w:color w:val="000000"/>
          <w:sz w:val="28"/>
          <w:szCs w:val="28"/>
        </w:rPr>
      </w:pPr>
      <w:r w:rsidRPr="00CD1D33">
        <w:rPr>
          <w:rFonts w:ascii="標楷體" w:eastAsia="標楷體" w:hAnsi="標楷體" w:cs="細明體" w:hint="eastAsia"/>
          <w:color w:val="000000"/>
          <w:kern w:val="0"/>
          <w:sz w:val="28"/>
          <w:szCs w:val="28"/>
        </w:rPr>
        <w:t>評估生活困難由本局參考上述指標並按個案事實核實認定之。</w:t>
      </w:r>
    </w:p>
    <w:p w:rsidR="00A92C55" w:rsidRDefault="00A92C55" w:rsidP="003326BD">
      <w:pPr>
        <w:pStyle w:val="a7"/>
        <w:numPr>
          <w:ilvl w:val="0"/>
          <w:numId w:val="3"/>
        </w:numPr>
        <w:tabs>
          <w:tab w:val="left" w:pos="7088"/>
        </w:tabs>
        <w:spacing w:line="460" w:lineRule="exact"/>
        <w:ind w:leftChars="0"/>
        <w:rPr>
          <w:rFonts w:ascii="標楷體" w:eastAsia="標楷體" w:hAnsi="標楷體"/>
          <w:color w:val="000000"/>
          <w:sz w:val="28"/>
          <w:szCs w:val="28"/>
        </w:rPr>
      </w:pPr>
      <w:r w:rsidRPr="00CD1D33">
        <w:rPr>
          <w:rFonts w:ascii="標楷體" w:eastAsia="標楷體" w:hAnsi="標楷體" w:hint="eastAsia"/>
          <w:color w:val="000000"/>
          <w:sz w:val="28"/>
          <w:szCs w:val="28"/>
        </w:rPr>
        <w:t>補助標準：每人每次發給2個月基本工資補助，每次以2個月為</w:t>
      </w:r>
      <w:proofErr w:type="gramStart"/>
      <w:r w:rsidRPr="00CD1D33">
        <w:rPr>
          <w:rFonts w:ascii="標楷體" w:eastAsia="標楷體" w:hAnsi="標楷體" w:hint="eastAsia"/>
          <w:color w:val="000000"/>
          <w:sz w:val="28"/>
          <w:szCs w:val="28"/>
        </w:rPr>
        <w:t>期間，</w:t>
      </w:r>
      <w:proofErr w:type="gramEnd"/>
      <w:r w:rsidRPr="00CD1D33">
        <w:rPr>
          <w:rFonts w:ascii="標楷體" w:eastAsia="標楷體" w:hAnsi="標楷體" w:hint="eastAsia"/>
          <w:color w:val="000000"/>
          <w:sz w:val="28"/>
          <w:szCs w:val="28"/>
        </w:rPr>
        <w:t>每年最高以補助4個月基本工資為限。</w:t>
      </w:r>
    </w:p>
    <w:p w:rsidR="00A92C55" w:rsidRPr="00117E21" w:rsidRDefault="00CD1D33" w:rsidP="00CD1D33">
      <w:pPr>
        <w:spacing w:line="460" w:lineRule="exact"/>
        <w:ind w:leftChars="-59" w:left="424" w:hangingChars="202" w:hanging="566"/>
        <w:rPr>
          <w:rFonts w:ascii="標楷體" w:eastAsia="標楷體" w:hAnsi="標楷體"/>
          <w:color w:val="000000"/>
          <w:sz w:val="28"/>
          <w:szCs w:val="28"/>
        </w:rPr>
      </w:pPr>
      <w:r>
        <w:rPr>
          <w:rFonts w:ascii="標楷體" w:eastAsia="標楷體" w:hAnsi="標楷體" w:hint="eastAsia"/>
          <w:color w:val="000000"/>
          <w:sz w:val="28"/>
          <w:szCs w:val="28"/>
        </w:rPr>
        <w:t>四</w:t>
      </w:r>
      <w:r w:rsidRPr="00117E21">
        <w:rPr>
          <w:rFonts w:ascii="標楷體" w:eastAsia="標楷體" w:hAnsi="標楷體" w:hint="eastAsia"/>
          <w:color w:val="000000"/>
          <w:sz w:val="28"/>
          <w:szCs w:val="28"/>
        </w:rPr>
        <w:t>、</w:t>
      </w:r>
      <w:r w:rsidR="00A92C55" w:rsidRPr="00117E21">
        <w:rPr>
          <w:rFonts w:ascii="標楷體" w:eastAsia="標楷體" w:hAnsi="標楷體" w:hint="eastAsia"/>
          <w:color w:val="000000"/>
          <w:sz w:val="28"/>
          <w:szCs w:val="28"/>
        </w:rPr>
        <w:t>本</w:t>
      </w:r>
      <w:r w:rsidR="00A92C55" w:rsidRPr="00117E21">
        <w:rPr>
          <w:rFonts w:ascii="標楷體" w:eastAsia="標楷體" w:hAnsi="標楷體"/>
          <w:color w:val="000000"/>
          <w:sz w:val="28"/>
          <w:szCs w:val="28"/>
        </w:rPr>
        <w:t>局為審核補助案件，應設立審核小組。審核小組置召集人一人，由</w:t>
      </w:r>
      <w:r w:rsidR="00A92C55" w:rsidRPr="00117E21">
        <w:rPr>
          <w:rFonts w:ascii="標楷體" w:eastAsia="標楷體" w:hAnsi="標楷體" w:hint="eastAsia"/>
          <w:color w:val="000000"/>
          <w:sz w:val="28"/>
          <w:szCs w:val="28"/>
        </w:rPr>
        <w:t>本</w:t>
      </w:r>
      <w:r w:rsidR="00A92C55" w:rsidRPr="00117E21">
        <w:rPr>
          <w:rFonts w:ascii="標楷體" w:eastAsia="標楷體" w:hAnsi="標楷體"/>
          <w:color w:val="000000"/>
          <w:sz w:val="28"/>
          <w:szCs w:val="28"/>
        </w:rPr>
        <w:t>局局長兼任，並置委員2人，由律師1人、學者專家或公正人士1人擔任。委員任期一年，期滿得續聘之。審核小組原則上每</w:t>
      </w:r>
      <w:proofErr w:type="gramStart"/>
      <w:r w:rsidR="00A92C55" w:rsidRPr="00117E21">
        <w:rPr>
          <w:rFonts w:ascii="標楷體" w:eastAsia="標楷體" w:hAnsi="標楷體"/>
          <w:color w:val="000000"/>
          <w:sz w:val="28"/>
          <w:szCs w:val="28"/>
        </w:rPr>
        <w:t>個</w:t>
      </w:r>
      <w:proofErr w:type="gramEnd"/>
      <w:r w:rsidR="00A92C55" w:rsidRPr="00117E21">
        <w:rPr>
          <w:rFonts w:ascii="標楷體" w:eastAsia="標楷體" w:hAnsi="標楷體"/>
          <w:color w:val="000000"/>
          <w:sz w:val="28"/>
          <w:szCs w:val="28"/>
        </w:rPr>
        <w:t>月召開1次，必要時得提早或調整之。</w:t>
      </w:r>
    </w:p>
    <w:p w:rsidR="00A92C55" w:rsidRPr="00117E21" w:rsidRDefault="00A92C55" w:rsidP="00CD1D33">
      <w:pPr>
        <w:spacing w:line="460" w:lineRule="exact"/>
        <w:ind w:left="426" w:hangingChars="152" w:hanging="426"/>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color w:val="000000"/>
          <w:sz w:val="28"/>
          <w:szCs w:val="28"/>
        </w:rPr>
        <w:t>審核小組召集人或委員有行政程序法第32條各款情形之</w:t>
      </w:r>
      <w:proofErr w:type="gramStart"/>
      <w:r w:rsidRPr="00117E21">
        <w:rPr>
          <w:rFonts w:ascii="標楷體" w:eastAsia="標楷體" w:hAnsi="標楷體"/>
          <w:color w:val="000000"/>
          <w:sz w:val="28"/>
          <w:szCs w:val="28"/>
        </w:rPr>
        <w:t>一</w:t>
      </w:r>
      <w:proofErr w:type="gramEnd"/>
      <w:r w:rsidRPr="00117E21">
        <w:rPr>
          <w:rFonts w:ascii="標楷體" w:eastAsia="標楷體" w:hAnsi="標楷體"/>
          <w:color w:val="000000"/>
          <w:sz w:val="28"/>
          <w:szCs w:val="28"/>
        </w:rPr>
        <w:t>者，應自行迴避。其對於審理之案件，不得受任為訴訟代理人。</w:t>
      </w:r>
    </w:p>
    <w:p w:rsidR="00A92C55" w:rsidRPr="00117E21" w:rsidRDefault="00A92C55" w:rsidP="00CD1D33">
      <w:pPr>
        <w:spacing w:line="460" w:lineRule="exact"/>
        <w:ind w:left="426" w:hangingChars="152" w:hanging="426"/>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color w:val="000000"/>
          <w:sz w:val="28"/>
          <w:szCs w:val="28"/>
        </w:rPr>
        <w:t>審核小組應有委員二分之一以上出席，始得開會；應有出席委員過半數之同意，始得決議。委員應親自出席，不得委任他人代理。</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color w:val="000000"/>
          <w:sz w:val="28"/>
          <w:szCs w:val="28"/>
        </w:rPr>
        <w:t>委員為無給職。但得依規定支領出席費。</w:t>
      </w:r>
    </w:p>
    <w:p w:rsidR="00A92C55" w:rsidRPr="00117E21" w:rsidRDefault="00A92C55" w:rsidP="00A92C55">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117E21">
        <w:rPr>
          <w:rFonts w:ascii="標楷體" w:eastAsia="標楷體" w:hAnsi="標楷體"/>
          <w:color w:val="000000"/>
          <w:sz w:val="28"/>
          <w:szCs w:val="28"/>
        </w:rPr>
        <w:t>審核小組所需經費，由本</w:t>
      </w:r>
      <w:r w:rsidRPr="00117E21">
        <w:rPr>
          <w:rFonts w:ascii="標楷體" w:eastAsia="標楷體" w:hAnsi="標楷體" w:hint="eastAsia"/>
          <w:color w:val="000000"/>
          <w:sz w:val="28"/>
          <w:szCs w:val="28"/>
        </w:rPr>
        <w:t>市勞工權益基金</w:t>
      </w:r>
      <w:r w:rsidRPr="00117E21">
        <w:rPr>
          <w:rFonts w:ascii="標楷體" w:eastAsia="標楷體" w:hAnsi="標楷體"/>
          <w:color w:val="000000"/>
          <w:sz w:val="28"/>
          <w:szCs w:val="28"/>
        </w:rPr>
        <w:t>相關預算支應。</w:t>
      </w:r>
    </w:p>
    <w:p w:rsidR="0079067A" w:rsidRPr="005907FE" w:rsidRDefault="00BE0FFC"/>
    <w:sectPr w:rsidR="0079067A" w:rsidRPr="005907FE">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FFC" w:rsidRDefault="00BE0FFC" w:rsidP="00A92C55">
      <w:r>
        <w:separator/>
      </w:r>
    </w:p>
  </w:endnote>
  <w:endnote w:type="continuationSeparator" w:id="0">
    <w:p w:rsidR="00BE0FFC" w:rsidRDefault="00BE0FFC" w:rsidP="00A92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8485367"/>
      <w:docPartObj>
        <w:docPartGallery w:val="Page Numbers (Bottom of Page)"/>
        <w:docPartUnique/>
      </w:docPartObj>
    </w:sdtPr>
    <w:sdtEndPr/>
    <w:sdtContent>
      <w:p w:rsidR="00A92C55" w:rsidRDefault="00A92C55">
        <w:pPr>
          <w:pStyle w:val="a5"/>
          <w:jc w:val="center"/>
        </w:pPr>
        <w:r>
          <w:fldChar w:fldCharType="begin"/>
        </w:r>
        <w:r>
          <w:instrText>PAGE   \* MERGEFORMAT</w:instrText>
        </w:r>
        <w:r>
          <w:fldChar w:fldCharType="separate"/>
        </w:r>
        <w:r w:rsidR="005907FE" w:rsidRPr="005907FE">
          <w:rPr>
            <w:noProof/>
            <w:lang w:val="zh-TW"/>
          </w:rPr>
          <w:t>2</w:t>
        </w:r>
        <w:r>
          <w:fldChar w:fldCharType="end"/>
        </w:r>
      </w:p>
    </w:sdtContent>
  </w:sdt>
  <w:p w:rsidR="00A92C55" w:rsidRDefault="00A92C5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FFC" w:rsidRDefault="00BE0FFC" w:rsidP="00A92C55">
      <w:r>
        <w:separator/>
      </w:r>
    </w:p>
  </w:footnote>
  <w:footnote w:type="continuationSeparator" w:id="0">
    <w:p w:rsidR="00BE0FFC" w:rsidRDefault="00BE0FFC" w:rsidP="00A92C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05D3A"/>
    <w:multiLevelType w:val="hybridMultilevel"/>
    <w:tmpl w:val="F45ADD4A"/>
    <w:lvl w:ilvl="0" w:tplc="156E7698">
      <w:start w:val="1"/>
      <w:numFmt w:val="decimal"/>
      <w:lvlText w:val="%1、"/>
      <w:lvlJc w:val="left"/>
      <w:pPr>
        <w:ind w:left="615" w:hanging="480"/>
      </w:pPr>
      <w:rPr>
        <w:rFonts w:hint="eastAsia"/>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
    <w:nsid w:val="170E3354"/>
    <w:multiLevelType w:val="hybridMultilevel"/>
    <w:tmpl w:val="A4109B00"/>
    <w:lvl w:ilvl="0" w:tplc="156E76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72652C4"/>
    <w:multiLevelType w:val="hybridMultilevel"/>
    <w:tmpl w:val="F45ADD4A"/>
    <w:lvl w:ilvl="0" w:tplc="156E7698">
      <w:start w:val="1"/>
      <w:numFmt w:val="decimal"/>
      <w:lvlText w:val="%1、"/>
      <w:lvlJc w:val="left"/>
      <w:pPr>
        <w:ind w:left="615" w:hanging="480"/>
      </w:pPr>
      <w:rPr>
        <w:rFonts w:hint="eastAsia"/>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C55"/>
    <w:rsid w:val="00041C0C"/>
    <w:rsid w:val="003326BD"/>
    <w:rsid w:val="004028EE"/>
    <w:rsid w:val="00573827"/>
    <w:rsid w:val="005907FE"/>
    <w:rsid w:val="00607241"/>
    <w:rsid w:val="0064192F"/>
    <w:rsid w:val="006E095B"/>
    <w:rsid w:val="009C3A5C"/>
    <w:rsid w:val="009F4D25"/>
    <w:rsid w:val="00A92C55"/>
    <w:rsid w:val="00BE0FFC"/>
    <w:rsid w:val="00CD1D33"/>
    <w:rsid w:val="00EF0F2A"/>
    <w:rsid w:val="00F816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C55"/>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2C55"/>
    <w:pPr>
      <w:tabs>
        <w:tab w:val="center" w:pos="4153"/>
        <w:tab w:val="right" w:pos="8306"/>
      </w:tabs>
      <w:snapToGrid w:val="0"/>
    </w:pPr>
    <w:rPr>
      <w:sz w:val="20"/>
      <w:szCs w:val="20"/>
    </w:rPr>
  </w:style>
  <w:style w:type="character" w:customStyle="1" w:styleId="a4">
    <w:name w:val="頁首 字元"/>
    <w:basedOn w:val="a0"/>
    <w:link w:val="a3"/>
    <w:uiPriority w:val="99"/>
    <w:rsid w:val="00A92C55"/>
    <w:rPr>
      <w:rFonts w:ascii="Calibri" w:eastAsia="新細明體" w:hAnsi="Calibri" w:cs="Times New Roman"/>
      <w:sz w:val="20"/>
      <w:szCs w:val="20"/>
    </w:rPr>
  </w:style>
  <w:style w:type="paragraph" w:styleId="a5">
    <w:name w:val="footer"/>
    <w:basedOn w:val="a"/>
    <w:link w:val="a6"/>
    <w:uiPriority w:val="99"/>
    <w:unhideWhenUsed/>
    <w:rsid w:val="00A92C55"/>
    <w:pPr>
      <w:tabs>
        <w:tab w:val="center" w:pos="4153"/>
        <w:tab w:val="right" w:pos="8306"/>
      </w:tabs>
      <w:snapToGrid w:val="0"/>
    </w:pPr>
    <w:rPr>
      <w:sz w:val="20"/>
      <w:szCs w:val="20"/>
    </w:rPr>
  </w:style>
  <w:style w:type="character" w:customStyle="1" w:styleId="a6">
    <w:name w:val="頁尾 字元"/>
    <w:basedOn w:val="a0"/>
    <w:link w:val="a5"/>
    <w:uiPriority w:val="99"/>
    <w:rsid w:val="00A92C55"/>
    <w:rPr>
      <w:rFonts w:ascii="Calibri" w:eastAsia="新細明體" w:hAnsi="Calibri" w:cs="Times New Roman"/>
      <w:sz w:val="20"/>
      <w:szCs w:val="20"/>
    </w:rPr>
  </w:style>
  <w:style w:type="paragraph" w:styleId="a7">
    <w:name w:val="List Paragraph"/>
    <w:basedOn w:val="a"/>
    <w:uiPriority w:val="34"/>
    <w:qFormat/>
    <w:rsid w:val="009C3A5C"/>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C55"/>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2C55"/>
    <w:pPr>
      <w:tabs>
        <w:tab w:val="center" w:pos="4153"/>
        <w:tab w:val="right" w:pos="8306"/>
      </w:tabs>
      <w:snapToGrid w:val="0"/>
    </w:pPr>
    <w:rPr>
      <w:sz w:val="20"/>
      <w:szCs w:val="20"/>
    </w:rPr>
  </w:style>
  <w:style w:type="character" w:customStyle="1" w:styleId="a4">
    <w:name w:val="頁首 字元"/>
    <w:basedOn w:val="a0"/>
    <w:link w:val="a3"/>
    <w:uiPriority w:val="99"/>
    <w:rsid w:val="00A92C55"/>
    <w:rPr>
      <w:rFonts w:ascii="Calibri" w:eastAsia="新細明體" w:hAnsi="Calibri" w:cs="Times New Roman"/>
      <w:sz w:val="20"/>
      <w:szCs w:val="20"/>
    </w:rPr>
  </w:style>
  <w:style w:type="paragraph" w:styleId="a5">
    <w:name w:val="footer"/>
    <w:basedOn w:val="a"/>
    <w:link w:val="a6"/>
    <w:uiPriority w:val="99"/>
    <w:unhideWhenUsed/>
    <w:rsid w:val="00A92C55"/>
    <w:pPr>
      <w:tabs>
        <w:tab w:val="center" w:pos="4153"/>
        <w:tab w:val="right" w:pos="8306"/>
      </w:tabs>
      <w:snapToGrid w:val="0"/>
    </w:pPr>
    <w:rPr>
      <w:sz w:val="20"/>
      <w:szCs w:val="20"/>
    </w:rPr>
  </w:style>
  <w:style w:type="character" w:customStyle="1" w:styleId="a6">
    <w:name w:val="頁尾 字元"/>
    <w:basedOn w:val="a0"/>
    <w:link w:val="a5"/>
    <w:uiPriority w:val="99"/>
    <w:rsid w:val="00A92C55"/>
    <w:rPr>
      <w:rFonts w:ascii="Calibri" w:eastAsia="新細明體" w:hAnsi="Calibri" w:cs="Times New Roman"/>
      <w:sz w:val="20"/>
      <w:szCs w:val="20"/>
    </w:rPr>
  </w:style>
  <w:style w:type="paragraph" w:styleId="a7">
    <w:name w:val="List Paragraph"/>
    <w:basedOn w:val="a"/>
    <w:uiPriority w:val="34"/>
    <w:qFormat/>
    <w:rsid w:val="009C3A5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280</Words>
  <Characters>1596</Characters>
  <Application>Microsoft Office Word</Application>
  <DocSecurity>0</DocSecurity>
  <Lines>13</Lines>
  <Paragraphs>3</Paragraphs>
  <ScaleCrop>false</ScaleCrop>
  <Company/>
  <LinksUpToDate>false</LinksUpToDate>
  <CharactersWithSpaces>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2013-01-11T03:24:00Z</cp:lastPrinted>
  <dcterms:created xsi:type="dcterms:W3CDTF">2013-01-16T03:35:00Z</dcterms:created>
  <dcterms:modified xsi:type="dcterms:W3CDTF">2013-01-18T01:35:00Z</dcterms:modified>
</cp:coreProperties>
</file>