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E2" w:rsidRPr="00D97423" w:rsidRDefault="00486BE2" w:rsidP="00486BE2">
      <w:pPr>
        <w:spacing w:line="320" w:lineRule="exact"/>
        <w:rPr>
          <w:rFonts w:ascii="標楷體" w:eastAsia="標楷體" w:hAnsi="標楷體" w:hint="eastAsia"/>
          <w:color w:val="000000"/>
          <w:szCs w:val="24"/>
        </w:rPr>
      </w:pPr>
      <w:r w:rsidRPr="00D97423">
        <w:rPr>
          <w:rFonts w:ascii="標楷體" w:eastAsia="標楷體" w:hAnsi="標楷體" w:hint="eastAsia"/>
          <w:color w:val="000000"/>
          <w:szCs w:val="24"/>
        </w:rPr>
        <w:t>附表</w:t>
      </w:r>
    </w:p>
    <w:p w:rsidR="00486BE2" w:rsidRPr="00D97423" w:rsidRDefault="00486BE2" w:rsidP="00486BE2">
      <w:pPr>
        <w:spacing w:line="320" w:lineRule="exact"/>
        <w:jc w:val="center"/>
        <w:rPr>
          <w:rFonts w:ascii="標楷體" w:eastAsia="標楷體" w:hAnsi="標楷體" w:hint="eastAsia"/>
          <w:color w:val="000000"/>
          <w:szCs w:val="24"/>
        </w:rPr>
      </w:pPr>
      <w:proofErr w:type="gramStart"/>
      <w:r w:rsidRPr="00D97423">
        <w:rPr>
          <w:rFonts w:ascii="標楷體" w:eastAsia="標楷體" w:hAnsi="標楷體" w:hint="eastAsia"/>
          <w:color w:val="000000"/>
          <w:szCs w:val="24"/>
        </w:rPr>
        <w:t>臺</w:t>
      </w:r>
      <w:proofErr w:type="gramEnd"/>
      <w:r w:rsidRPr="00D97423">
        <w:rPr>
          <w:rFonts w:ascii="標楷體" w:eastAsia="標楷體" w:hAnsi="標楷體" w:hint="eastAsia"/>
          <w:color w:val="000000"/>
          <w:szCs w:val="24"/>
        </w:rPr>
        <w:t>中市立港區藝術中心場地使用規費收費標準表　(單位：新台幣元)</w:t>
      </w:r>
    </w:p>
    <w:tbl>
      <w:tblPr>
        <w:tblW w:w="55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559"/>
        <w:gridCol w:w="961"/>
        <w:gridCol w:w="1096"/>
        <w:gridCol w:w="1124"/>
        <w:gridCol w:w="1218"/>
        <w:gridCol w:w="1224"/>
        <w:gridCol w:w="2825"/>
      </w:tblGrid>
      <w:tr w:rsidR="00486BE2" w:rsidRPr="00D97423" w:rsidTr="00C60900">
        <w:trPr>
          <w:cantSplit/>
          <w:trHeight w:val="990"/>
        </w:trPr>
        <w:tc>
          <w:tcPr>
            <w:tcW w:w="1237" w:type="pct"/>
            <w:gridSpan w:val="3"/>
            <w:vMerge w:val="restart"/>
            <w:tcBorders>
              <w:tl2br w:val="single" w:sz="4" w:space="0" w:color="auto"/>
            </w:tcBorders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ind w:right="440"/>
              <w:jc w:val="right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486BE2" w:rsidRPr="00D97423" w:rsidRDefault="00486BE2" w:rsidP="00C60900">
            <w:pPr>
              <w:suppressAutoHyphens/>
              <w:adjustRightInd w:val="0"/>
              <w:snapToGrid w:val="0"/>
              <w:ind w:right="440"/>
              <w:jc w:val="right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486BE2" w:rsidRPr="00D97423" w:rsidRDefault="00486BE2" w:rsidP="00C60900">
            <w:pPr>
              <w:suppressAutoHyphens/>
              <w:adjustRightInd w:val="0"/>
              <w:snapToGrid w:val="0"/>
              <w:ind w:right="440"/>
              <w:jc w:val="right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時間</w:t>
            </w:r>
          </w:p>
          <w:p w:rsidR="00486BE2" w:rsidRPr="00D97423" w:rsidRDefault="00486BE2" w:rsidP="00C60900">
            <w:pPr>
              <w:suppressAutoHyphens/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 xml:space="preserve">  場地</w:t>
            </w:r>
          </w:p>
        </w:tc>
        <w:tc>
          <w:tcPr>
            <w:tcW w:w="551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全日</w:t>
            </w:r>
          </w:p>
        </w:tc>
        <w:tc>
          <w:tcPr>
            <w:tcW w:w="56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上午</w:t>
            </w:r>
          </w:p>
        </w:tc>
        <w:tc>
          <w:tcPr>
            <w:tcW w:w="612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下午</w:t>
            </w:r>
          </w:p>
        </w:tc>
        <w:tc>
          <w:tcPr>
            <w:tcW w:w="61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晚間</w:t>
            </w:r>
          </w:p>
        </w:tc>
        <w:tc>
          <w:tcPr>
            <w:tcW w:w="1420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備註</w:t>
            </w:r>
          </w:p>
        </w:tc>
      </w:tr>
      <w:tr w:rsidR="00486BE2" w:rsidRPr="00D97423" w:rsidTr="00C60900">
        <w:trPr>
          <w:cantSplit/>
          <w:trHeight w:val="990"/>
        </w:trPr>
        <w:tc>
          <w:tcPr>
            <w:tcW w:w="1237" w:type="pct"/>
            <w:gridSpan w:val="3"/>
            <w:vMerge/>
            <w:tcBorders>
              <w:tl2br w:val="single" w:sz="4" w:space="0" w:color="auto"/>
            </w:tcBorders>
            <w:vAlign w:val="bottom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551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9時至17時</w:t>
            </w:r>
          </w:p>
        </w:tc>
        <w:tc>
          <w:tcPr>
            <w:tcW w:w="56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9時至12時</w:t>
            </w:r>
          </w:p>
        </w:tc>
        <w:tc>
          <w:tcPr>
            <w:tcW w:w="612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14時至17時</w:t>
            </w:r>
          </w:p>
        </w:tc>
        <w:tc>
          <w:tcPr>
            <w:tcW w:w="61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19時至22時</w:t>
            </w:r>
          </w:p>
        </w:tc>
        <w:tc>
          <w:tcPr>
            <w:tcW w:w="1420" w:type="pct"/>
            <w:vMerge w:val="restart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一、本中心史坦威D-274鋼琴租用費以每時段8,000元計費(不</w:t>
            </w:r>
            <w:proofErr w:type="gramStart"/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含調音費</w:t>
            </w:r>
            <w:proofErr w:type="gramEnd"/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)，並僅限於本中心演藝廳使用。</w:t>
            </w:r>
          </w:p>
          <w:p w:rsidR="00486BE2" w:rsidRPr="00D97423" w:rsidRDefault="00486BE2" w:rsidP="00C60900">
            <w:pPr>
              <w:suppressAutoHyphens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二、使用本中心場地應配合填寫相關場地設施需求或規範表格，以利活動進行。</w:t>
            </w:r>
          </w:p>
          <w:p w:rsidR="00486BE2" w:rsidRPr="00D97423" w:rsidRDefault="00486BE2" w:rsidP="00C60900">
            <w:pPr>
              <w:suppressAutoHyphens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三、為維護演出品質，不論售票或非售票，申請使用者皆不得擅自增加演藝廳座位，本演藝廳為546人座。</w:t>
            </w:r>
          </w:p>
          <w:p w:rsidR="00486BE2" w:rsidRPr="00D97423" w:rsidRDefault="00486BE2" w:rsidP="00C60900">
            <w:pPr>
              <w:suppressAutoHyphens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四、使用本中心場地時間不得逾時，演藝廳演出每超過一小時加收費用3,000元；演藝廳彩排、預演、</w:t>
            </w:r>
            <w:r w:rsidRPr="00D97423">
              <w:rPr>
                <w:rFonts w:ascii="標楷體" w:eastAsia="標楷體" w:hAnsi="標楷體"/>
                <w:color w:val="000000"/>
              </w:rPr>
              <w:t>佈置</w:t>
            </w:r>
            <w:r w:rsidRPr="00D97423">
              <w:rPr>
                <w:rFonts w:ascii="標楷體" w:eastAsia="標楷體" w:hAnsi="標楷體" w:hint="eastAsia"/>
                <w:color w:val="000000"/>
              </w:rPr>
              <w:t>及卸台</w:t>
            </w: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每超過1小時加收費用1,000元；國際會議廳每超過一小時加收費用1,000元。</w:t>
            </w:r>
          </w:p>
          <w:p w:rsidR="00486BE2" w:rsidRPr="00D97423" w:rsidRDefault="00486BE2" w:rsidP="00C60900">
            <w:pPr>
              <w:ind w:left="480" w:hangingChars="200" w:hanging="480"/>
              <w:jc w:val="both"/>
              <w:rPr>
                <w:rFonts w:ascii="標楷體" w:eastAsia="標楷體" w:hAnsi="標楷體" w:hint="eastAsia"/>
                <w:color w:val="000000"/>
                <w:sz w:val="20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五、演藝廳、國際會議廳休息時間為中午12時~14時、下午17時~18時。如需另使用上午8時~9時、下午1時~2時、下午18時~19時。每時段時另加收1,000元。</w:t>
            </w:r>
          </w:p>
          <w:p w:rsidR="00486BE2" w:rsidRPr="00D97423" w:rsidRDefault="00486BE2" w:rsidP="00C60900">
            <w:pPr>
              <w:suppressAutoHyphens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486BE2" w:rsidRPr="00D97423" w:rsidTr="00C60900">
        <w:trPr>
          <w:trHeight w:val="990"/>
        </w:trPr>
        <w:tc>
          <w:tcPr>
            <w:tcW w:w="473" w:type="pct"/>
            <w:vMerge w:val="restar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演藝廳</w:t>
            </w:r>
          </w:p>
        </w:tc>
        <w:tc>
          <w:tcPr>
            <w:tcW w:w="281" w:type="pct"/>
            <w:vMerge w:val="restart"/>
            <w:textDirection w:val="tbRlV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每時段</w:t>
            </w:r>
          </w:p>
        </w:tc>
        <w:tc>
          <w:tcPr>
            <w:tcW w:w="483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不出售門票者</w:t>
            </w:r>
          </w:p>
        </w:tc>
        <w:tc>
          <w:tcPr>
            <w:tcW w:w="551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56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12,800</w:t>
            </w:r>
          </w:p>
        </w:tc>
        <w:tc>
          <w:tcPr>
            <w:tcW w:w="612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12,800</w:t>
            </w:r>
          </w:p>
        </w:tc>
        <w:tc>
          <w:tcPr>
            <w:tcW w:w="61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16,000</w:t>
            </w:r>
          </w:p>
        </w:tc>
        <w:tc>
          <w:tcPr>
            <w:tcW w:w="1420" w:type="pct"/>
            <w:vMerge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486BE2" w:rsidRPr="00D97423" w:rsidTr="00C60900">
        <w:trPr>
          <w:trHeight w:val="990"/>
        </w:trPr>
        <w:tc>
          <w:tcPr>
            <w:tcW w:w="473" w:type="pct"/>
            <w:vMerge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81" w:type="pct"/>
            <w:vMerge/>
            <w:textDirection w:val="tbRlV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出售門票者</w:t>
            </w:r>
          </w:p>
        </w:tc>
        <w:tc>
          <w:tcPr>
            <w:tcW w:w="551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56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24,000</w:t>
            </w:r>
          </w:p>
        </w:tc>
        <w:tc>
          <w:tcPr>
            <w:tcW w:w="612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24,000</w:t>
            </w:r>
          </w:p>
        </w:tc>
        <w:tc>
          <w:tcPr>
            <w:tcW w:w="61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30,000</w:t>
            </w:r>
          </w:p>
        </w:tc>
        <w:tc>
          <w:tcPr>
            <w:tcW w:w="1420" w:type="pct"/>
            <w:vMerge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486BE2" w:rsidRPr="00D97423" w:rsidTr="00C60900">
        <w:trPr>
          <w:trHeight w:val="990"/>
        </w:trPr>
        <w:tc>
          <w:tcPr>
            <w:tcW w:w="473" w:type="pct"/>
            <w:vMerge/>
            <w:tcBorders>
              <w:tr2bl w:val="nil"/>
            </w:tcBorders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81" w:type="pct"/>
            <w:vMerge/>
            <w:tcBorders>
              <w:tr2bl w:val="nil"/>
            </w:tcBorders>
            <w:textDirection w:val="tbRlV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483" w:type="pct"/>
            <w:tcBorders>
              <w:tr2bl w:val="nil"/>
            </w:tcBorders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/>
                <w:color w:val="000000"/>
                <w:szCs w:val="24"/>
              </w:rPr>
              <w:t>彩排、預演</w:t>
            </w:r>
            <w:r w:rsidRPr="00D97423">
              <w:rPr>
                <w:rFonts w:hint="eastAsia"/>
                <w:color w:val="000000"/>
              </w:rPr>
              <w:t>、</w:t>
            </w:r>
            <w:r w:rsidRPr="00D97423">
              <w:rPr>
                <w:rFonts w:ascii="標楷體" w:eastAsia="標楷體" w:hAnsi="標楷體"/>
                <w:color w:val="000000"/>
              </w:rPr>
              <w:t>佈置</w:t>
            </w:r>
            <w:r w:rsidRPr="00D97423">
              <w:rPr>
                <w:rFonts w:ascii="標楷體" w:eastAsia="標楷體" w:hAnsi="標楷體" w:hint="eastAsia"/>
                <w:color w:val="000000"/>
              </w:rPr>
              <w:t>及卸台</w:t>
            </w:r>
          </w:p>
        </w:tc>
        <w:tc>
          <w:tcPr>
            <w:tcW w:w="551" w:type="pct"/>
            <w:tcBorders>
              <w:tr2bl w:val="nil"/>
            </w:tcBorders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565" w:type="pct"/>
            <w:tcBorders>
              <w:tr2bl w:val="nil"/>
            </w:tcBorders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6,000</w:t>
            </w:r>
          </w:p>
        </w:tc>
        <w:tc>
          <w:tcPr>
            <w:tcW w:w="612" w:type="pct"/>
            <w:tcBorders>
              <w:tr2bl w:val="nil"/>
            </w:tcBorders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6,000</w:t>
            </w:r>
          </w:p>
        </w:tc>
        <w:tc>
          <w:tcPr>
            <w:tcW w:w="615" w:type="pct"/>
            <w:tcBorders>
              <w:tr2bl w:val="nil"/>
            </w:tcBorders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7,500</w:t>
            </w:r>
          </w:p>
        </w:tc>
        <w:tc>
          <w:tcPr>
            <w:tcW w:w="1420" w:type="pct"/>
            <w:vMerge/>
            <w:tcBorders>
              <w:tr2bl w:val="nil"/>
            </w:tcBorders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486BE2" w:rsidRPr="00D97423" w:rsidTr="00C60900">
        <w:trPr>
          <w:cantSplit/>
          <w:trHeight w:val="990"/>
        </w:trPr>
        <w:tc>
          <w:tcPr>
            <w:tcW w:w="473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國際會</w:t>
            </w:r>
          </w:p>
          <w:p w:rsidR="00486BE2" w:rsidRPr="00D97423" w:rsidRDefault="00486BE2" w:rsidP="00C60900">
            <w:pPr>
              <w:suppressAutoHyphens/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議廳</w:t>
            </w:r>
          </w:p>
        </w:tc>
        <w:tc>
          <w:tcPr>
            <w:tcW w:w="764" w:type="pct"/>
            <w:gridSpan w:val="2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每時段</w:t>
            </w:r>
          </w:p>
        </w:tc>
        <w:tc>
          <w:tcPr>
            <w:tcW w:w="551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10,000</w:t>
            </w:r>
          </w:p>
        </w:tc>
        <w:tc>
          <w:tcPr>
            <w:tcW w:w="56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6,000</w:t>
            </w:r>
          </w:p>
        </w:tc>
        <w:tc>
          <w:tcPr>
            <w:tcW w:w="612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6,000</w:t>
            </w:r>
          </w:p>
        </w:tc>
        <w:tc>
          <w:tcPr>
            <w:tcW w:w="61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7,000</w:t>
            </w:r>
          </w:p>
        </w:tc>
        <w:tc>
          <w:tcPr>
            <w:tcW w:w="1420" w:type="pct"/>
            <w:vMerge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486BE2" w:rsidRPr="00D97423" w:rsidTr="00C60900">
        <w:trPr>
          <w:cantSplit/>
          <w:trHeight w:val="990"/>
        </w:trPr>
        <w:tc>
          <w:tcPr>
            <w:tcW w:w="473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研習教室</w:t>
            </w:r>
          </w:p>
        </w:tc>
        <w:tc>
          <w:tcPr>
            <w:tcW w:w="764" w:type="pct"/>
            <w:gridSpan w:val="2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每時段</w:t>
            </w:r>
          </w:p>
        </w:tc>
        <w:tc>
          <w:tcPr>
            <w:tcW w:w="551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2,000</w:t>
            </w:r>
          </w:p>
        </w:tc>
        <w:tc>
          <w:tcPr>
            <w:tcW w:w="56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1,200</w:t>
            </w:r>
          </w:p>
        </w:tc>
        <w:tc>
          <w:tcPr>
            <w:tcW w:w="612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1,200</w:t>
            </w:r>
          </w:p>
        </w:tc>
        <w:tc>
          <w:tcPr>
            <w:tcW w:w="61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1420" w:type="pct"/>
            <w:vMerge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486BE2" w:rsidRPr="00D97423" w:rsidTr="00C60900">
        <w:trPr>
          <w:cantSplit/>
          <w:trHeight w:val="1454"/>
        </w:trPr>
        <w:tc>
          <w:tcPr>
            <w:tcW w:w="473" w:type="pct"/>
            <w:vMerge w:val="restar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戶外廣場</w:t>
            </w:r>
          </w:p>
        </w:tc>
        <w:tc>
          <w:tcPr>
            <w:tcW w:w="281" w:type="pct"/>
            <w:vMerge w:val="restart"/>
            <w:textDirection w:val="tbRlV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每時段</w:t>
            </w:r>
          </w:p>
        </w:tc>
        <w:tc>
          <w:tcPr>
            <w:tcW w:w="483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清水廣場</w:t>
            </w:r>
          </w:p>
        </w:tc>
        <w:tc>
          <w:tcPr>
            <w:tcW w:w="551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2,000</w:t>
            </w:r>
          </w:p>
        </w:tc>
        <w:tc>
          <w:tcPr>
            <w:tcW w:w="56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612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61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1420" w:type="pct"/>
            <w:vMerge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486BE2" w:rsidRPr="00D97423" w:rsidTr="00C60900">
        <w:trPr>
          <w:cantSplit/>
          <w:trHeight w:val="1600"/>
        </w:trPr>
        <w:tc>
          <w:tcPr>
            <w:tcW w:w="473" w:type="pct"/>
            <w:vMerge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81" w:type="pct"/>
            <w:vMerge/>
            <w:textDirection w:val="tbRlV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ind w:left="113" w:right="113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迴旋廣場</w:t>
            </w:r>
          </w:p>
        </w:tc>
        <w:tc>
          <w:tcPr>
            <w:tcW w:w="551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3,000</w:t>
            </w:r>
          </w:p>
        </w:tc>
        <w:tc>
          <w:tcPr>
            <w:tcW w:w="56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612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61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1420" w:type="pct"/>
            <w:vMerge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486BE2" w:rsidRPr="00D97423" w:rsidTr="00C60900">
        <w:trPr>
          <w:cantSplit/>
          <w:trHeight w:val="1960"/>
        </w:trPr>
        <w:tc>
          <w:tcPr>
            <w:tcW w:w="473" w:type="pct"/>
            <w:vMerge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81" w:type="pct"/>
            <w:vMerge/>
            <w:textDirection w:val="tbRlV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ind w:left="113" w:right="113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distribut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藝術廣場</w:t>
            </w:r>
          </w:p>
        </w:tc>
        <w:tc>
          <w:tcPr>
            <w:tcW w:w="551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D97423">
              <w:rPr>
                <w:rFonts w:ascii="標楷體" w:eastAsia="標楷體" w:hAnsi="標楷體" w:hint="eastAsia"/>
                <w:color w:val="000000"/>
                <w:szCs w:val="24"/>
              </w:rPr>
              <w:t>5,000</w:t>
            </w:r>
          </w:p>
        </w:tc>
        <w:tc>
          <w:tcPr>
            <w:tcW w:w="56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612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615" w:type="pct"/>
            <w:vAlign w:val="center"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1420" w:type="pct"/>
            <w:vMerge/>
          </w:tcPr>
          <w:p w:rsidR="00486BE2" w:rsidRPr="00D97423" w:rsidRDefault="00486BE2" w:rsidP="00C60900">
            <w:pPr>
              <w:suppressAutoHyphens/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</w:tbl>
    <w:p w:rsidR="00486BE2" w:rsidRPr="00D97423" w:rsidRDefault="00486BE2" w:rsidP="00486BE2">
      <w:pPr>
        <w:jc w:val="both"/>
        <w:rPr>
          <w:rFonts w:hint="eastAsia"/>
          <w:color w:val="000000"/>
        </w:rPr>
      </w:pPr>
    </w:p>
    <w:p w:rsidR="00C107BC" w:rsidRDefault="00C107BC"/>
    <w:sectPr w:rsidR="00C107BC" w:rsidSect="00340278">
      <w:footerReference w:type="even" r:id="rId4"/>
      <w:pgSz w:w="11907" w:h="16840" w:code="9"/>
      <w:pgMar w:top="1418" w:right="1418" w:bottom="1418" w:left="1701" w:header="720" w:footer="720" w:gutter="0"/>
      <w:pgNumType w:start="545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9B" w:rsidRDefault="00486B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CE059B" w:rsidRDefault="00486BE2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86BE2"/>
    <w:rsid w:val="00486BE2"/>
    <w:rsid w:val="00C1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BE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86BE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486BE2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486B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2012-11-15T01:07:00Z</dcterms:created>
  <dcterms:modified xsi:type="dcterms:W3CDTF">2012-11-15T01:07:00Z</dcterms:modified>
</cp:coreProperties>
</file>