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AFB" w:rsidRPr="00A94E03" w:rsidRDefault="007A7AFB">
      <w:pPr>
        <w:widowControl/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</w:pPr>
    </w:p>
    <w:p w:rsidR="00E53683" w:rsidRPr="00A94E03" w:rsidRDefault="00E53683">
      <w:pPr>
        <w:widowControl/>
        <w:rPr>
          <w:rStyle w:val="style351"/>
          <w:rFonts w:ascii="標楷體" w:eastAsia="標楷體" w:hAnsi="標楷體"/>
          <w:color w:val="000000" w:themeColor="text1"/>
          <w:sz w:val="36"/>
          <w:szCs w:val="36"/>
        </w:rPr>
      </w:pPr>
      <w:r w:rsidRPr="00A94E03">
        <w:rPr>
          <w:rStyle w:val="style351"/>
          <w:rFonts w:ascii="標楷體" w:eastAsia="標楷體" w:hAnsi="標楷體"/>
          <w:color w:val="000000" w:themeColor="text1"/>
          <w:sz w:val="36"/>
          <w:szCs w:val="36"/>
        </w:rPr>
        <w:br w:type="page"/>
      </w:r>
    </w:p>
    <w:p w:rsidR="007A7AFB" w:rsidRPr="00A94E03" w:rsidRDefault="007A7AFB" w:rsidP="007A7AFB">
      <w:pPr>
        <w:spacing w:line="460" w:lineRule="exact"/>
        <w:jc w:val="center"/>
        <w:rPr>
          <w:rStyle w:val="style51"/>
          <w:rFonts w:ascii="標楷體" w:eastAsia="標楷體" w:hAnsi="標楷體"/>
          <w:color w:val="000000" w:themeColor="text1"/>
          <w:sz w:val="36"/>
          <w:szCs w:val="36"/>
        </w:rPr>
      </w:pPr>
      <w:r w:rsidRPr="00A94E03">
        <w:rPr>
          <w:rStyle w:val="style351"/>
          <w:rFonts w:ascii="標楷體" w:eastAsia="標楷體" w:hAnsi="標楷體"/>
          <w:color w:val="000000" w:themeColor="text1"/>
          <w:sz w:val="36"/>
          <w:szCs w:val="36"/>
        </w:rPr>
        <w:lastRenderedPageBreak/>
        <w:t>臺</w:t>
      </w:r>
      <w:r w:rsidRPr="00A94E03">
        <w:rPr>
          <w:rStyle w:val="style351"/>
          <w:rFonts w:ascii="標楷體" w:eastAsia="標楷體" w:hAnsi="標楷體" w:hint="eastAsia"/>
          <w:color w:val="000000" w:themeColor="text1"/>
          <w:sz w:val="36"/>
          <w:szCs w:val="36"/>
        </w:rPr>
        <w:t>中</w:t>
      </w:r>
      <w:r w:rsidRPr="00A94E03">
        <w:rPr>
          <w:rStyle w:val="style351"/>
          <w:rFonts w:ascii="標楷體" w:eastAsia="標楷體" w:hAnsi="標楷體"/>
          <w:color w:val="000000" w:themeColor="text1"/>
          <w:sz w:val="36"/>
          <w:szCs w:val="36"/>
        </w:rPr>
        <w:t>市政府處理違反地政士法事件統一裁罰基準</w:t>
      </w:r>
    </w:p>
    <w:p w:rsidR="007A7AFB" w:rsidRPr="00A94E03" w:rsidRDefault="007A7AFB" w:rsidP="007A7AFB">
      <w:pPr>
        <w:spacing w:line="460" w:lineRule="exact"/>
        <w:ind w:left="560" w:hangingChars="200" w:hanging="560"/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</w:pPr>
      <w:r w:rsidRPr="00A94E03">
        <w:rPr>
          <w:rStyle w:val="style351"/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D66F73" w:rsidRPr="00A94E03">
        <w:rPr>
          <w:rFonts w:ascii="標楷體" w:eastAsia="標楷體" w:hAnsi="標楷體"/>
          <w:color w:val="000000" w:themeColor="text1"/>
          <w:sz w:val="28"/>
          <w:szCs w:val="28"/>
        </w:rPr>
        <w:t>臺中市政府（以下簡稱本府）為處理違反地政士法（以下簡稱本法）</w:t>
      </w:r>
      <w:r w:rsidR="00D66F73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第二十六條之一</w:t>
      </w:r>
      <w:r w:rsidR="00A94E03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D66F73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一項、第三十三條第二項、</w:t>
      </w:r>
      <w:r w:rsidR="00D66F73" w:rsidRPr="00A94E03">
        <w:rPr>
          <w:rFonts w:ascii="標楷體" w:eastAsia="標楷體" w:hAnsi="標楷體"/>
          <w:color w:val="000000" w:themeColor="text1"/>
          <w:sz w:val="28"/>
          <w:szCs w:val="28"/>
        </w:rPr>
        <w:t>第四十九條至第五十一條</w:t>
      </w:r>
      <w:r w:rsidR="00D66F73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66F73" w:rsidRPr="00A94E03">
        <w:rPr>
          <w:rFonts w:ascii="標楷體" w:eastAsia="標楷體" w:hAnsi="標楷體"/>
          <w:color w:val="000000" w:themeColor="text1"/>
          <w:sz w:val="28"/>
          <w:szCs w:val="28"/>
        </w:rPr>
        <w:t>五十一條</w:t>
      </w:r>
      <w:r w:rsidR="00D66F73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之一及不動產成交案件實際資訊申報登錄及查詢收費辦法(以下簡稱本辦法)第十一條</w:t>
      </w:r>
      <w:r w:rsidR="00D66F73" w:rsidRPr="00A94E03">
        <w:rPr>
          <w:rFonts w:ascii="標楷體" w:eastAsia="標楷體" w:hAnsi="標楷體"/>
          <w:color w:val="000000" w:themeColor="text1"/>
          <w:sz w:val="28"/>
          <w:szCs w:val="28"/>
        </w:rPr>
        <w:t>事件，特訂定本基準。</w:t>
      </w:r>
    </w:p>
    <w:p w:rsidR="007A7AFB" w:rsidRPr="00A94E03" w:rsidRDefault="007A7AFB" w:rsidP="007A7AFB">
      <w:pPr>
        <w:spacing w:line="460" w:lineRule="exact"/>
        <w:ind w:left="420" w:hangingChars="150" w:hanging="420"/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</w:pPr>
      <w:r w:rsidRPr="00A94E03">
        <w:rPr>
          <w:rStyle w:val="style351"/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7F3C41" w:rsidRPr="00A94E03">
        <w:rPr>
          <w:rFonts w:ascii="標楷體" w:eastAsia="標楷體" w:hAnsi="標楷體"/>
          <w:color w:val="000000" w:themeColor="text1"/>
          <w:sz w:val="28"/>
          <w:szCs w:val="28"/>
        </w:rPr>
        <w:t>本府處理違反</w:t>
      </w:r>
      <w:r w:rsidR="006B624B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7F3C41" w:rsidRPr="00A94E03">
        <w:rPr>
          <w:rFonts w:ascii="標楷體" w:eastAsia="標楷體" w:hAnsi="標楷體"/>
          <w:color w:val="000000" w:themeColor="text1"/>
          <w:sz w:val="28"/>
          <w:szCs w:val="28"/>
        </w:rPr>
        <w:t>法</w:t>
      </w:r>
      <w:r w:rsidR="007F3C41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6B624B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7F3C41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辦法第十一條</w:t>
      </w:r>
      <w:r w:rsidR="007F3C41" w:rsidRPr="00A94E03">
        <w:rPr>
          <w:rFonts w:ascii="標楷體" w:eastAsia="標楷體" w:hAnsi="標楷體"/>
          <w:color w:val="000000" w:themeColor="text1"/>
          <w:sz w:val="28"/>
          <w:szCs w:val="28"/>
        </w:rPr>
        <w:t>事件，統一裁罰基準如附表。</w:t>
      </w:r>
    </w:p>
    <w:p w:rsidR="007A7AFB" w:rsidRPr="00A94E03" w:rsidRDefault="007A7AFB" w:rsidP="007A7AFB">
      <w:pPr>
        <w:spacing w:line="460" w:lineRule="exact"/>
        <w:ind w:left="560" w:hangingChars="200" w:hanging="560"/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</w:pPr>
      <w:r w:rsidRPr="00A94E03">
        <w:rPr>
          <w:rStyle w:val="style351"/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Pr="00A94E03"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  <w:t>前點個別案件之情況，有特別輕微或嚴重之情形者，得按裁罰基準酌量減輕或加重處罰，但應敘明其減輕或加重之理由。</w:t>
      </w:r>
    </w:p>
    <w:p w:rsidR="007A7AFB" w:rsidRPr="00A94E03" w:rsidRDefault="007A7AFB" w:rsidP="00687312">
      <w:pPr>
        <w:spacing w:line="460" w:lineRule="exact"/>
        <w:ind w:left="560" w:hangingChars="200" w:hanging="560"/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</w:pPr>
      <w:r w:rsidRPr="00A94E03">
        <w:rPr>
          <w:rStyle w:val="style351"/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687312" w:rsidRPr="00A94E03"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  <w:t>本府處理違反</w:t>
      </w:r>
      <w:r w:rsidR="00A94E03" w:rsidRPr="00A94E03">
        <w:rPr>
          <w:rStyle w:val="style351"/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687312" w:rsidRPr="00A94E03"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  <w:t>法</w:t>
      </w:r>
      <w:r w:rsidR="00687312" w:rsidRPr="00A94E03">
        <w:rPr>
          <w:rStyle w:val="style351"/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A94E03" w:rsidRPr="00A94E03">
        <w:rPr>
          <w:rStyle w:val="style351"/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687312" w:rsidRPr="00A94E03">
        <w:rPr>
          <w:rStyle w:val="style351"/>
          <w:rFonts w:ascii="標楷體" w:eastAsia="標楷體" w:hAnsi="標楷體" w:hint="eastAsia"/>
          <w:color w:val="000000" w:themeColor="text1"/>
          <w:sz w:val="28"/>
          <w:szCs w:val="28"/>
        </w:rPr>
        <w:t>辦法</w:t>
      </w:r>
      <w:r w:rsidR="00687312" w:rsidRPr="00A94E03"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  <w:t>之程序如下：</w:t>
      </w:r>
    </w:p>
    <w:p w:rsidR="007A7AFB" w:rsidRPr="00A94E03" w:rsidRDefault="007A7AFB" w:rsidP="007A7AFB">
      <w:pPr>
        <w:spacing w:line="460" w:lineRule="exact"/>
        <w:ind w:left="840" w:hangingChars="300" w:hanging="840"/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</w:pPr>
      <w:r w:rsidRPr="00A94E03"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  <w:t>（一）</w:t>
      </w:r>
      <w:r w:rsidR="00D66F73" w:rsidRPr="00A94E03"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  <w:t>發現有本法第四十九條、第五十條、第五十一條</w:t>
      </w:r>
      <w:r w:rsidR="00D66F73" w:rsidRPr="00A94E03">
        <w:rPr>
          <w:rFonts w:ascii="標楷體" w:eastAsia="標楷體" w:hAnsi="標楷體" w:hint="eastAsia"/>
          <w:bCs/>
          <w:snapToGrid w:val="0"/>
          <w:color w:val="000000" w:themeColor="text1"/>
          <w:sz w:val="28"/>
          <w:szCs w:val="28"/>
        </w:rPr>
        <w:t>、第</w:t>
      </w:r>
      <w:r w:rsidR="00D66F73" w:rsidRPr="00A94E03"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  <w:t>五十一條</w:t>
      </w:r>
      <w:r w:rsidR="00D66F73" w:rsidRPr="00A94E03">
        <w:rPr>
          <w:rFonts w:ascii="標楷體" w:eastAsia="標楷體" w:hAnsi="標楷體" w:hint="eastAsia"/>
          <w:bCs/>
          <w:snapToGrid w:val="0"/>
          <w:color w:val="000000" w:themeColor="text1"/>
          <w:sz w:val="28"/>
          <w:szCs w:val="28"/>
        </w:rPr>
        <w:t>之一及</w:t>
      </w:r>
      <w:r w:rsidR="00D66F73" w:rsidRPr="00A94E03">
        <w:rPr>
          <w:rFonts w:ascii="標楷體" w:eastAsia="標楷體" w:hAnsi="標楷體" w:hint="eastAsia"/>
          <w:color w:val="000000" w:themeColor="text1"/>
          <w:sz w:val="28"/>
          <w:szCs w:val="28"/>
        </w:rPr>
        <w:t>本辦法第十一條</w:t>
      </w:r>
      <w:r w:rsidR="00D66F73" w:rsidRPr="00A94E03"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  <w:t>之事件，由本府作成處分，並將該處分書依行政程序法規定送達受處人，俾受處分人繳納罰鍰或履行一定行為義務。</w:t>
      </w:r>
    </w:p>
    <w:p w:rsidR="007A7AFB" w:rsidRPr="00A94E03" w:rsidRDefault="007A7AFB" w:rsidP="007A7AFB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94E03"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  <w:t>（二）</w:t>
      </w:r>
      <w:r w:rsidR="00687312" w:rsidRPr="00A94E03">
        <w:rPr>
          <w:rFonts w:ascii="標楷體" w:eastAsia="標楷體" w:hAnsi="標楷體"/>
          <w:bCs/>
          <w:color w:val="000000" w:themeColor="text1"/>
          <w:sz w:val="28"/>
          <w:szCs w:val="28"/>
        </w:rPr>
        <w:t>受處罰人逾期不繳納罰鍰者，由本府進行催繳作業，若經催繳仍不繳納罰鍰者，依行政執行法規定辦理。</w:t>
      </w:r>
    </w:p>
    <w:p w:rsidR="007A7AFB" w:rsidRPr="00A94E03" w:rsidRDefault="007A7AFB" w:rsidP="007A7AFB">
      <w:pPr>
        <w:spacing w:line="460" w:lineRule="exact"/>
        <w:jc w:val="center"/>
        <w:rPr>
          <w:rStyle w:val="style351"/>
          <w:rFonts w:ascii="標楷體" w:eastAsia="標楷體" w:hAnsi="標楷體"/>
          <w:color w:val="000000" w:themeColor="text1"/>
          <w:sz w:val="36"/>
          <w:szCs w:val="36"/>
        </w:rPr>
      </w:pPr>
    </w:p>
    <w:p w:rsidR="007A7AFB" w:rsidRPr="00A94E03" w:rsidRDefault="007A7AFB" w:rsidP="007A7AFB">
      <w:pPr>
        <w:spacing w:line="460" w:lineRule="exact"/>
        <w:jc w:val="center"/>
        <w:rPr>
          <w:rFonts w:ascii="標楷體" w:eastAsia="標楷體" w:hAnsi="標楷體"/>
          <w:bCs/>
          <w:color w:val="000000" w:themeColor="text1"/>
        </w:rPr>
        <w:sectPr w:rsidR="007A7AFB" w:rsidRPr="00A94E03" w:rsidSect="00545992">
          <w:footerReference w:type="even" r:id="rId8"/>
          <w:footerReference w:type="default" r:id="rId9"/>
          <w:pgSz w:w="11907" w:h="16839" w:code="9"/>
          <w:pgMar w:top="1134" w:right="1134" w:bottom="709" w:left="1134" w:header="851" w:footer="369" w:gutter="0"/>
          <w:cols w:space="425"/>
          <w:docGrid w:type="lines" w:linePitch="360"/>
        </w:sectPr>
      </w:pPr>
    </w:p>
    <w:p w:rsidR="007A7AFB" w:rsidRPr="004105E5" w:rsidRDefault="007A7AFB" w:rsidP="007A7AFB">
      <w:pPr>
        <w:spacing w:line="460" w:lineRule="exact"/>
        <w:rPr>
          <w:rFonts w:ascii="標楷體" w:eastAsia="標楷體" w:hAnsi="標楷體"/>
        </w:rPr>
      </w:pPr>
      <w:r w:rsidRPr="004105E5">
        <w:rPr>
          <w:rFonts w:ascii="標楷體" w:eastAsia="標楷體" w:hAnsi="標楷體" w:hint="eastAsia"/>
        </w:rPr>
        <w:lastRenderedPageBreak/>
        <w:t>附表</w:t>
      </w:r>
    </w:p>
    <w:tbl>
      <w:tblPr>
        <w:tblW w:w="14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48"/>
        <w:gridCol w:w="3240"/>
        <w:gridCol w:w="2160"/>
        <w:gridCol w:w="2400"/>
        <w:gridCol w:w="4680"/>
      </w:tblGrid>
      <w:tr w:rsidR="004E2D29" w:rsidRPr="004E2D29" w:rsidTr="00DD33B5">
        <w:trPr>
          <w:trHeight w:val="20"/>
        </w:trPr>
        <w:tc>
          <w:tcPr>
            <w:tcW w:w="14028" w:type="dxa"/>
            <w:gridSpan w:val="5"/>
            <w:vAlign w:val="center"/>
          </w:tcPr>
          <w:p w:rsidR="007A7AFB" w:rsidRPr="004E2D29" w:rsidRDefault="007A7AFB" w:rsidP="0032253E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-20"/>
              </w:rPr>
            </w:pPr>
            <w:r w:rsidRPr="004E2D29">
              <w:rPr>
                <w:rFonts w:ascii="標楷體" w:eastAsia="標楷體" w:hAnsi="標楷體"/>
                <w:bCs/>
                <w:color w:val="000000" w:themeColor="text1"/>
                <w:spacing w:val="-20"/>
              </w:rPr>
              <w:t>臺</w:t>
            </w:r>
            <w:r w:rsidRPr="004E2D29">
              <w:rPr>
                <w:rFonts w:ascii="標楷體" w:eastAsia="標楷體" w:hAnsi="標楷體" w:hint="eastAsia"/>
                <w:bCs/>
                <w:color w:val="000000" w:themeColor="text1"/>
                <w:spacing w:val="-20"/>
              </w:rPr>
              <w:t>中</w:t>
            </w:r>
            <w:r w:rsidRPr="004E2D29">
              <w:rPr>
                <w:rFonts w:ascii="標楷體" w:eastAsia="標楷體" w:hAnsi="標楷體"/>
                <w:bCs/>
                <w:color w:val="000000" w:themeColor="text1"/>
                <w:spacing w:val="-20"/>
              </w:rPr>
              <w:t>市政府</w:t>
            </w:r>
            <w:r w:rsidRPr="004E2D29">
              <w:rPr>
                <w:rFonts w:ascii="標楷體" w:eastAsia="標楷體" w:hAnsi="標楷體" w:hint="eastAsia"/>
                <w:bCs/>
                <w:color w:val="000000" w:themeColor="text1"/>
                <w:spacing w:val="-20"/>
              </w:rPr>
              <w:t>處理違反地政士法事件統一裁罰基準表</w:t>
            </w:r>
            <w:bookmarkStart w:id="0" w:name="_GoBack"/>
            <w:bookmarkEnd w:id="0"/>
          </w:p>
        </w:tc>
      </w:tr>
      <w:tr w:rsidR="004E2D29" w:rsidRPr="004E2D29" w:rsidTr="00DD33B5">
        <w:tc>
          <w:tcPr>
            <w:tcW w:w="1548" w:type="dxa"/>
            <w:vAlign w:val="center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類別</w:t>
            </w:r>
          </w:p>
        </w:tc>
        <w:tc>
          <w:tcPr>
            <w:tcW w:w="3240" w:type="dxa"/>
            <w:vAlign w:val="center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jc w:val="distribute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違規事件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  </w:t>
            </w:r>
          </w:p>
        </w:tc>
        <w:tc>
          <w:tcPr>
            <w:tcW w:w="2160" w:type="dxa"/>
            <w:vAlign w:val="center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法條依據（地政士法）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</w:t>
            </w:r>
          </w:p>
        </w:tc>
        <w:tc>
          <w:tcPr>
            <w:tcW w:w="2400" w:type="dxa"/>
            <w:vAlign w:val="center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法定罰鍰額度（新臺幣：元）或其他處罰</w:t>
            </w:r>
          </w:p>
        </w:tc>
        <w:tc>
          <w:tcPr>
            <w:tcW w:w="4680" w:type="dxa"/>
            <w:vAlign w:val="center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統一裁罰基準（新臺幣：元）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</w:t>
            </w:r>
          </w:p>
        </w:tc>
      </w:tr>
      <w:tr w:rsidR="004E2D29" w:rsidRPr="004E2D29" w:rsidTr="00DD33B5">
        <w:tc>
          <w:tcPr>
            <w:tcW w:w="1548" w:type="dxa"/>
            <w:vAlign w:val="center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甲</w:t>
            </w:r>
          </w:p>
        </w:tc>
        <w:tc>
          <w:tcPr>
            <w:tcW w:w="3240" w:type="dxa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未取得地政士證書或地政士證書經撤銷或廢止，而擅自以地政士為業者。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</w:t>
            </w:r>
          </w:p>
        </w:tc>
        <w:tc>
          <w:tcPr>
            <w:tcW w:w="2160" w:type="dxa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第四十九條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                  </w:t>
            </w:r>
          </w:p>
        </w:tc>
        <w:tc>
          <w:tcPr>
            <w:tcW w:w="2400" w:type="dxa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處</w:t>
            </w:r>
            <w:r w:rsidR="00D8542E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新臺幣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五萬元以上二十五萬元以下罰鍰。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</w:t>
            </w:r>
          </w:p>
        </w:tc>
        <w:tc>
          <w:tcPr>
            <w:tcW w:w="4680" w:type="dxa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第一、二、三、四、五（含以上）次</w:t>
            </w:r>
            <w:r w:rsidR="0091016F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查獲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，分別處</w:t>
            </w:r>
            <w:r w:rsidR="00D8542E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新臺幣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五、十、十五、二十、二十五萬元。</w:t>
            </w:r>
          </w:p>
        </w:tc>
      </w:tr>
      <w:tr w:rsidR="004E2D29" w:rsidRPr="004E2D29" w:rsidTr="00DD33B5">
        <w:tc>
          <w:tcPr>
            <w:tcW w:w="1548" w:type="dxa"/>
            <w:vMerge w:val="restart"/>
            <w:vAlign w:val="center"/>
          </w:tcPr>
          <w:p w:rsidR="007A7AFB" w:rsidRPr="004E2D29" w:rsidRDefault="007A7AFB" w:rsidP="00DD33B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乙</w:t>
            </w:r>
          </w:p>
        </w:tc>
        <w:tc>
          <w:tcPr>
            <w:tcW w:w="3240" w:type="dxa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一、未依本法取得開業執照，而以地政士為業者。</w:t>
            </w:r>
          </w:p>
        </w:tc>
        <w:tc>
          <w:tcPr>
            <w:tcW w:w="2160" w:type="dxa"/>
            <w:vMerge w:val="restart"/>
          </w:tcPr>
          <w:p w:rsidR="007A7AFB" w:rsidRPr="004E2D29" w:rsidRDefault="007A7AFB" w:rsidP="00D66F73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第五十條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400" w:type="dxa"/>
            <w:vMerge w:val="restart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一、處</w:t>
            </w:r>
            <w:r w:rsidR="00D8542E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新臺幣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三萬元以上十五萬元以下罰鍰。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</w:t>
            </w:r>
          </w:p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ind w:left="600" w:hangingChars="250" w:hanging="60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二、依前項處罰並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限期改正或停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止其行為，而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逾期未改正或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</w:t>
            </w:r>
            <w:r w:rsidR="00545992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停止其行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者，應連續處罰。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</w:t>
            </w:r>
          </w:p>
        </w:tc>
        <w:tc>
          <w:tcPr>
            <w:tcW w:w="4680" w:type="dxa"/>
            <w:vMerge w:val="restart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第一、二、三、四、五（含以上）次查獲，分別處</w:t>
            </w:r>
            <w:r w:rsidR="00D8542E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新臺幣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三、六、九、十二、十五萬元，並以書面通知限期三十日內改正或停止其行為。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</w:t>
            </w:r>
          </w:p>
        </w:tc>
      </w:tr>
      <w:tr w:rsidR="004E2D29" w:rsidRPr="004E2D29" w:rsidTr="00DD33B5">
        <w:tc>
          <w:tcPr>
            <w:tcW w:w="1548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240" w:type="dxa"/>
            <w:vAlign w:val="center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二、領有開業執照未加入公會，而以地政士為業者。</w:t>
            </w:r>
          </w:p>
        </w:tc>
        <w:tc>
          <w:tcPr>
            <w:tcW w:w="216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0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68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E2D29" w:rsidRPr="004E2D29" w:rsidTr="00DD33B5">
        <w:tc>
          <w:tcPr>
            <w:tcW w:w="1548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240" w:type="dxa"/>
            <w:vAlign w:val="center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三、領有開業執照，其有效期限屆滿未依，仍以地政士為業者。</w:t>
            </w:r>
          </w:p>
        </w:tc>
        <w:tc>
          <w:tcPr>
            <w:tcW w:w="216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0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68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E2D29" w:rsidRPr="004E2D29" w:rsidTr="00DD33B5">
        <w:tc>
          <w:tcPr>
            <w:tcW w:w="1548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240" w:type="dxa"/>
            <w:vAlign w:val="center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四、開業執照經撤銷或廢止，仍以地政士為業者。</w:t>
            </w:r>
          </w:p>
        </w:tc>
        <w:tc>
          <w:tcPr>
            <w:tcW w:w="216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0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68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E2D29" w:rsidRPr="004E2D29" w:rsidTr="00545992">
        <w:trPr>
          <w:trHeight w:val="1077"/>
        </w:trPr>
        <w:tc>
          <w:tcPr>
            <w:tcW w:w="1548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240" w:type="dxa"/>
          </w:tcPr>
          <w:p w:rsidR="007A7AFB" w:rsidRPr="004E2D29" w:rsidRDefault="007A7AFB" w:rsidP="00DD33B5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五、受停止執行業務處分，仍以地政士為業者。</w:t>
            </w:r>
          </w:p>
        </w:tc>
        <w:tc>
          <w:tcPr>
            <w:tcW w:w="216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0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680" w:type="dxa"/>
            <w:vMerge/>
          </w:tcPr>
          <w:p w:rsidR="007A7AFB" w:rsidRPr="004E2D29" w:rsidRDefault="007A7AFB" w:rsidP="00DD33B5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E2D29" w:rsidRPr="004E2D29" w:rsidTr="00DD33B5">
        <w:tc>
          <w:tcPr>
            <w:tcW w:w="1548" w:type="dxa"/>
            <w:vAlign w:val="center"/>
          </w:tcPr>
          <w:p w:rsidR="00570A9E" w:rsidRPr="004E2D29" w:rsidRDefault="00570A9E" w:rsidP="00DD33B5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lastRenderedPageBreak/>
              <w:t>丙</w:t>
            </w:r>
          </w:p>
        </w:tc>
        <w:tc>
          <w:tcPr>
            <w:tcW w:w="3240" w:type="dxa"/>
          </w:tcPr>
          <w:p w:rsidR="00570A9E" w:rsidRPr="004E2D29" w:rsidRDefault="00570A9E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地政士公會拒絕領有本府核發開業執照且未經註銷、撤銷或廢止之地政士加入公會者。</w:t>
            </w:r>
          </w:p>
        </w:tc>
        <w:tc>
          <w:tcPr>
            <w:tcW w:w="2160" w:type="dxa"/>
          </w:tcPr>
          <w:p w:rsidR="00570A9E" w:rsidRPr="004E2D29" w:rsidRDefault="0057580D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第三十三條第二項、</w:t>
            </w:r>
            <w:r w:rsidR="00570A9E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第五十一條</w:t>
            </w:r>
            <w:r w:rsidR="00570A9E"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         </w:t>
            </w:r>
          </w:p>
        </w:tc>
        <w:tc>
          <w:tcPr>
            <w:tcW w:w="2400" w:type="dxa"/>
          </w:tcPr>
          <w:p w:rsidR="00570A9E" w:rsidRPr="004E2D29" w:rsidRDefault="00570A9E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處</w:t>
            </w:r>
            <w:r w:rsidR="00D8542E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新臺幣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三萬元以上十五萬元以下罰鍰。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</w:t>
            </w:r>
          </w:p>
        </w:tc>
        <w:tc>
          <w:tcPr>
            <w:tcW w:w="4680" w:type="dxa"/>
          </w:tcPr>
          <w:p w:rsidR="00570A9E" w:rsidRPr="004E2D29" w:rsidRDefault="00570A9E" w:rsidP="00DD33B5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第一、二、三、四、五（含以上）次查獲，分別處</w:t>
            </w:r>
            <w:r w:rsidR="00D8542E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新臺幣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三、六、九、十二、十五萬元。</w:t>
            </w:r>
          </w:p>
        </w:tc>
      </w:tr>
      <w:tr w:rsidR="004E2D29" w:rsidRPr="004E2D29" w:rsidTr="00DD33B5">
        <w:tc>
          <w:tcPr>
            <w:tcW w:w="1548" w:type="dxa"/>
            <w:vMerge w:val="restart"/>
            <w:vAlign w:val="center"/>
          </w:tcPr>
          <w:p w:rsidR="0099582C" w:rsidRPr="004E2D29" w:rsidRDefault="0099582C" w:rsidP="00DD33B5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丁</w:t>
            </w:r>
          </w:p>
        </w:tc>
        <w:tc>
          <w:tcPr>
            <w:tcW w:w="3240" w:type="dxa"/>
          </w:tcPr>
          <w:p w:rsidR="0099582C" w:rsidRPr="004E2D29" w:rsidRDefault="0099582C" w:rsidP="0099582C">
            <w:pPr>
              <w:autoSpaceDE w:val="0"/>
              <w:autoSpaceDN w:val="0"/>
              <w:adjustRightInd w:val="0"/>
              <w:spacing w:line="460" w:lineRule="exact"/>
              <w:ind w:left="435" w:hangingChars="161" w:hanging="435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新細明體" w:hint="eastAsia"/>
                <w:color w:val="000000" w:themeColor="text1"/>
                <w:spacing w:val="15"/>
                <w:kern w:val="0"/>
              </w:rPr>
              <w:t>一、</w:t>
            </w:r>
            <w:r w:rsidRPr="004E2D29"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  <w:t>地政士</w:t>
            </w:r>
            <w:r w:rsidRPr="004E2D29">
              <w:rPr>
                <w:rFonts w:ascii="標楷體" w:eastAsia="標楷體" w:hAnsi="標楷體" w:cs="新細明體" w:hint="eastAsia"/>
                <w:color w:val="000000" w:themeColor="text1"/>
                <w:spacing w:val="15"/>
                <w:kern w:val="0"/>
              </w:rPr>
              <w:t>未</w:t>
            </w:r>
            <w:r w:rsidRPr="004E2D29"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  <w:t>於買賣受託案件辦竣所有權移轉登記三十日內，向主管機關申報登錄土地及建物成交案件實際資訊。</w:t>
            </w:r>
          </w:p>
        </w:tc>
        <w:tc>
          <w:tcPr>
            <w:tcW w:w="2160" w:type="dxa"/>
            <w:vMerge w:val="restart"/>
          </w:tcPr>
          <w:p w:rsidR="0099582C" w:rsidRPr="004E2D29" w:rsidRDefault="0057580D" w:rsidP="00A94E03">
            <w:pPr>
              <w:spacing w:line="460" w:lineRule="exact"/>
              <w:ind w:leftChars="13" w:left="33" w:hanging="2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第二十六條之一</w:t>
            </w:r>
            <w:r w:rsidR="00007F79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第五十一條之一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、</w:t>
            </w:r>
            <w:r w:rsidR="00007F79" w:rsidRPr="004E2D29">
              <w:rPr>
                <w:rFonts w:ascii="標楷體" w:eastAsia="標楷體" w:hAnsi="標楷體" w:hint="eastAsia"/>
                <w:color w:val="000000" w:themeColor="text1"/>
              </w:rPr>
              <w:t>不動產成交案件實際資訊申報登錄及查詢收費辦法第十一條</w:t>
            </w:r>
            <w:r w:rsidR="00A94E03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。</w:t>
            </w:r>
          </w:p>
          <w:p w:rsidR="0099582C" w:rsidRPr="004E2D29" w:rsidRDefault="0099582C" w:rsidP="00DD33B5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</w:p>
        </w:tc>
        <w:tc>
          <w:tcPr>
            <w:tcW w:w="2400" w:type="dxa"/>
            <w:vMerge w:val="restart"/>
          </w:tcPr>
          <w:p w:rsidR="0099582C" w:rsidRPr="004E2D29" w:rsidRDefault="0099582C" w:rsidP="00DD33B5">
            <w:pPr>
              <w:autoSpaceDE w:val="0"/>
              <w:autoSpaceDN w:val="0"/>
              <w:adjustRightInd w:val="0"/>
              <w:spacing w:line="460" w:lineRule="exact"/>
              <w:ind w:leftChars="-1" w:left="423" w:hangingChars="177" w:hanging="425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一、處地政士</w:t>
            </w:r>
            <w:r w:rsidR="00D8542E"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新臺幣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 xml:space="preserve">三萬元以上十五萬元以下罰鍰。並限期於十五日內申報登錄。 </w:t>
            </w:r>
          </w:p>
          <w:p w:rsidR="0099582C" w:rsidRPr="004E2D29" w:rsidRDefault="0099582C" w:rsidP="00DD33B5">
            <w:pPr>
              <w:autoSpaceDE w:val="0"/>
              <w:autoSpaceDN w:val="0"/>
              <w:adjustRightInd w:val="0"/>
              <w:spacing w:line="460" w:lineRule="exact"/>
              <w:ind w:leftChars="-1" w:left="423" w:hangingChars="177" w:hanging="425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二、依前項處罰地政士並限期申報而屆期未申報者，應按次處罰至完成申報登錄為止。</w:t>
            </w:r>
          </w:p>
        </w:tc>
        <w:tc>
          <w:tcPr>
            <w:tcW w:w="4680" w:type="dxa"/>
            <w:vMerge w:val="restart"/>
          </w:tcPr>
          <w:p w:rsidR="0099582C" w:rsidRPr="004E2D29" w:rsidRDefault="0099582C" w:rsidP="00DD33B5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E2D29">
              <w:rPr>
                <w:rFonts w:ascii="標楷體" w:eastAsia="標楷體" w:hAnsi="標楷體" w:hint="eastAsia"/>
                <w:color w:val="000000" w:themeColor="text1"/>
              </w:rPr>
              <w:t>一、第一次</w:t>
            </w:r>
            <w:r w:rsidR="0091016F" w:rsidRPr="004E2D29">
              <w:rPr>
                <w:rFonts w:ascii="標楷體" w:eastAsia="標楷體" w:hAnsi="標楷體" w:hint="eastAsia"/>
                <w:color w:val="000000" w:themeColor="text1"/>
              </w:rPr>
              <w:t>查獲</w:t>
            </w:r>
            <w:r w:rsidRPr="004E2D29">
              <w:rPr>
                <w:rFonts w:ascii="標楷體" w:eastAsia="標楷體" w:hAnsi="標楷體" w:hint="eastAsia"/>
                <w:color w:val="000000" w:themeColor="text1"/>
              </w:rPr>
              <w:t>處</w:t>
            </w:r>
            <w:r w:rsidR="00D8542E" w:rsidRPr="004E2D29">
              <w:rPr>
                <w:rFonts w:ascii="標楷體" w:eastAsia="標楷體" w:hAnsi="標楷體" w:hint="eastAsia"/>
                <w:color w:val="000000" w:themeColor="text1"/>
              </w:rPr>
              <w:t>新臺幣</w:t>
            </w:r>
            <w:r w:rsidRPr="004E2D29">
              <w:rPr>
                <w:rFonts w:ascii="標楷體" w:eastAsia="標楷體" w:hAnsi="標楷體" w:hint="eastAsia"/>
                <w:color w:val="000000" w:themeColor="text1"/>
              </w:rPr>
              <w:t>三萬元罰鍰，並以書面通知限期於十五日內申報登錄。</w:t>
            </w:r>
          </w:p>
          <w:p w:rsidR="0099582C" w:rsidRPr="004E2D29" w:rsidRDefault="0099582C" w:rsidP="003007FC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hint="eastAsia"/>
                <w:color w:val="000000" w:themeColor="text1"/>
              </w:rPr>
              <w:t>二、經限期申報，屆期仍未申報登錄者，第二、三、四、五（含以上）次，按次分別處</w:t>
            </w:r>
            <w:r w:rsidR="00D8542E" w:rsidRPr="004E2D29">
              <w:rPr>
                <w:rFonts w:ascii="標楷體" w:eastAsia="標楷體" w:hAnsi="標楷體" w:hint="eastAsia"/>
                <w:color w:val="000000" w:themeColor="text1"/>
              </w:rPr>
              <w:t>新臺幣</w:t>
            </w:r>
            <w:r w:rsidRPr="004E2D29">
              <w:rPr>
                <w:rFonts w:ascii="標楷體" w:eastAsia="標楷體" w:hAnsi="標楷體" w:hint="eastAsia"/>
                <w:color w:val="000000" w:themeColor="text1"/>
              </w:rPr>
              <w:t>六、九、十二、十五萬元罰鍰，並以書面通知限期於十五日內申報登錄，至完成申報登錄為止。</w:t>
            </w:r>
          </w:p>
        </w:tc>
      </w:tr>
      <w:tr w:rsidR="0099582C" w:rsidRPr="004E2D29" w:rsidTr="00DD33B5">
        <w:tc>
          <w:tcPr>
            <w:tcW w:w="1548" w:type="dxa"/>
            <w:vMerge/>
            <w:vAlign w:val="center"/>
          </w:tcPr>
          <w:p w:rsidR="0099582C" w:rsidRPr="004E2D29" w:rsidRDefault="0099582C" w:rsidP="00DD33B5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</w:p>
        </w:tc>
        <w:tc>
          <w:tcPr>
            <w:tcW w:w="3240" w:type="dxa"/>
          </w:tcPr>
          <w:p w:rsidR="0099582C" w:rsidRPr="004E2D29" w:rsidRDefault="0099582C" w:rsidP="0099582C">
            <w:pPr>
              <w:autoSpaceDE w:val="0"/>
              <w:autoSpaceDN w:val="0"/>
              <w:adjustRightInd w:val="0"/>
              <w:spacing w:line="460" w:lineRule="exact"/>
              <w:ind w:left="435" w:hangingChars="161" w:hanging="435"/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</w:pPr>
            <w:r w:rsidRPr="004E2D29">
              <w:rPr>
                <w:rFonts w:ascii="標楷體" w:eastAsia="標楷體" w:hAnsi="標楷體" w:cs="新細明體" w:hint="eastAsia"/>
                <w:color w:val="000000" w:themeColor="text1"/>
                <w:spacing w:val="15"/>
                <w:kern w:val="0"/>
              </w:rPr>
              <w:t>二、地政士確有申報不實，應依地政士法第五十一條之一，於接獲裁處書及限期改正申報通知書後十五日內改正；屆期未改正，應按次處罰並限期於十五日內改正，至完成申報登錄為止。</w:t>
            </w:r>
          </w:p>
        </w:tc>
        <w:tc>
          <w:tcPr>
            <w:tcW w:w="2160" w:type="dxa"/>
            <w:vMerge/>
          </w:tcPr>
          <w:p w:rsidR="0099582C" w:rsidRPr="004E2D29" w:rsidRDefault="0099582C" w:rsidP="00DD33B5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</w:p>
        </w:tc>
        <w:tc>
          <w:tcPr>
            <w:tcW w:w="2400" w:type="dxa"/>
            <w:vMerge/>
          </w:tcPr>
          <w:p w:rsidR="0099582C" w:rsidRPr="004E2D29" w:rsidRDefault="0099582C" w:rsidP="00DD33B5">
            <w:pPr>
              <w:autoSpaceDE w:val="0"/>
              <w:autoSpaceDN w:val="0"/>
              <w:adjustRightInd w:val="0"/>
              <w:spacing w:line="460" w:lineRule="exact"/>
              <w:ind w:leftChars="-1" w:left="423" w:hangingChars="177" w:hanging="425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</w:p>
        </w:tc>
        <w:tc>
          <w:tcPr>
            <w:tcW w:w="4680" w:type="dxa"/>
            <w:vMerge/>
          </w:tcPr>
          <w:p w:rsidR="0099582C" w:rsidRPr="004E2D29" w:rsidRDefault="0099582C" w:rsidP="00DD33B5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7A7AFB" w:rsidRPr="004E2D29" w:rsidRDefault="007A7AFB" w:rsidP="0076177A">
      <w:pPr>
        <w:spacing w:line="460" w:lineRule="exact"/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</w:pPr>
    </w:p>
    <w:sectPr w:rsidR="007A7AFB" w:rsidRPr="004E2D29" w:rsidSect="00545992">
      <w:pgSz w:w="16838" w:h="11906" w:orient="landscape"/>
      <w:pgMar w:top="1800" w:right="1440" w:bottom="113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DD1" w:rsidRDefault="00103DD1" w:rsidP="0076177A">
      <w:r>
        <w:separator/>
      </w:r>
    </w:p>
  </w:endnote>
  <w:endnote w:type="continuationSeparator" w:id="1">
    <w:p w:rsidR="00103DD1" w:rsidRDefault="00103DD1" w:rsidP="00761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3B5" w:rsidRDefault="00F74953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D33B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D33B5" w:rsidRDefault="00DD33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3B5" w:rsidRDefault="00F74953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D33B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60D29">
      <w:rPr>
        <w:rStyle w:val="a8"/>
        <w:noProof/>
      </w:rPr>
      <w:t>2</w:t>
    </w:r>
    <w:r>
      <w:rPr>
        <w:rStyle w:val="a8"/>
      </w:rPr>
      <w:fldChar w:fldCharType="end"/>
    </w:r>
  </w:p>
  <w:p w:rsidR="00DD33B5" w:rsidRDefault="00DD33B5" w:rsidP="00DD33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DD1" w:rsidRDefault="00103DD1" w:rsidP="0076177A">
      <w:r>
        <w:separator/>
      </w:r>
    </w:p>
  </w:footnote>
  <w:footnote w:type="continuationSeparator" w:id="1">
    <w:p w:rsidR="00103DD1" w:rsidRDefault="00103DD1" w:rsidP="007617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669D5"/>
    <w:multiLevelType w:val="hybridMultilevel"/>
    <w:tmpl w:val="56F6A3CE"/>
    <w:lvl w:ilvl="0" w:tplc="BECC515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1F78"/>
    <w:rsid w:val="00000AB9"/>
    <w:rsid w:val="00007F79"/>
    <w:rsid w:val="00012461"/>
    <w:rsid w:val="00053C08"/>
    <w:rsid w:val="00055425"/>
    <w:rsid w:val="00103DD1"/>
    <w:rsid w:val="001051AE"/>
    <w:rsid w:val="001217E3"/>
    <w:rsid w:val="00134ECC"/>
    <w:rsid w:val="0018538A"/>
    <w:rsid w:val="001A036C"/>
    <w:rsid w:val="001A0C75"/>
    <w:rsid w:val="001D543D"/>
    <w:rsid w:val="001E4D07"/>
    <w:rsid w:val="00221BD4"/>
    <w:rsid w:val="00243FCA"/>
    <w:rsid w:val="00266233"/>
    <w:rsid w:val="002978A6"/>
    <w:rsid w:val="002A1AF3"/>
    <w:rsid w:val="002E4426"/>
    <w:rsid w:val="002F1DDE"/>
    <w:rsid w:val="003007FC"/>
    <w:rsid w:val="0032253E"/>
    <w:rsid w:val="003241B1"/>
    <w:rsid w:val="0036469A"/>
    <w:rsid w:val="003B134A"/>
    <w:rsid w:val="003E4721"/>
    <w:rsid w:val="00413332"/>
    <w:rsid w:val="004437A0"/>
    <w:rsid w:val="00452B7E"/>
    <w:rsid w:val="0048400C"/>
    <w:rsid w:val="004B0CBF"/>
    <w:rsid w:val="004D5F3F"/>
    <w:rsid w:val="004E2D29"/>
    <w:rsid w:val="005261DE"/>
    <w:rsid w:val="00534195"/>
    <w:rsid w:val="00545992"/>
    <w:rsid w:val="00560D29"/>
    <w:rsid w:val="00570A9E"/>
    <w:rsid w:val="00572AAF"/>
    <w:rsid w:val="0057580D"/>
    <w:rsid w:val="00582E3B"/>
    <w:rsid w:val="005D45D4"/>
    <w:rsid w:val="005E2BFE"/>
    <w:rsid w:val="00643890"/>
    <w:rsid w:val="00652BE3"/>
    <w:rsid w:val="00673CEC"/>
    <w:rsid w:val="006808D2"/>
    <w:rsid w:val="00687312"/>
    <w:rsid w:val="006B624B"/>
    <w:rsid w:val="006D52DB"/>
    <w:rsid w:val="006E15FD"/>
    <w:rsid w:val="00720B49"/>
    <w:rsid w:val="0076177A"/>
    <w:rsid w:val="00794852"/>
    <w:rsid w:val="007A6D73"/>
    <w:rsid w:val="007A7AFB"/>
    <w:rsid w:val="007D4D50"/>
    <w:rsid w:val="007D672C"/>
    <w:rsid w:val="007E4D1D"/>
    <w:rsid w:val="007F3C41"/>
    <w:rsid w:val="00800771"/>
    <w:rsid w:val="00806B96"/>
    <w:rsid w:val="00835243"/>
    <w:rsid w:val="008356D9"/>
    <w:rsid w:val="00871631"/>
    <w:rsid w:val="008D7958"/>
    <w:rsid w:val="008E1F78"/>
    <w:rsid w:val="008F71BF"/>
    <w:rsid w:val="00905399"/>
    <w:rsid w:val="0091016F"/>
    <w:rsid w:val="009218FD"/>
    <w:rsid w:val="00931641"/>
    <w:rsid w:val="00935EDD"/>
    <w:rsid w:val="009723B7"/>
    <w:rsid w:val="0097584B"/>
    <w:rsid w:val="00994017"/>
    <w:rsid w:val="0099582C"/>
    <w:rsid w:val="009A305C"/>
    <w:rsid w:val="009C2B87"/>
    <w:rsid w:val="009C32B6"/>
    <w:rsid w:val="00A06469"/>
    <w:rsid w:val="00A21B18"/>
    <w:rsid w:val="00A347BC"/>
    <w:rsid w:val="00A37176"/>
    <w:rsid w:val="00A94E03"/>
    <w:rsid w:val="00AD36F0"/>
    <w:rsid w:val="00B03E78"/>
    <w:rsid w:val="00B5585D"/>
    <w:rsid w:val="00BB3996"/>
    <w:rsid w:val="00BF306F"/>
    <w:rsid w:val="00C04F98"/>
    <w:rsid w:val="00C25EB3"/>
    <w:rsid w:val="00C747AE"/>
    <w:rsid w:val="00C80265"/>
    <w:rsid w:val="00C80665"/>
    <w:rsid w:val="00CE4670"/>
    <w:rsid w:val="00D66F73"/>
    <w:rsid w:val="00D8542E"/>
    <w:rsid w:val="00DB06F6"/>
    <w:rsid w:val="00DB7620"/>
    <w:rsid w:val="00DD33B5"/>
    <w:rsid w:val="00E53683"/>
    <w:rsid w:val="00EA36FD"/>
    <w:rsid w:val="00EF5CD7"/>
    <w:rsid w:val="00F21D5A"/>
    <w:rsid w:val="00F42085"/>
    <w:rsid w:val="00F74953"/>
    <w:rsid w:val="00F9069F"/>
    <w:rsid w:val="00FB1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F7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351">
    <w:name w:val="style351"/>
    <w:rsid w:val="008E1F78"/>
    <w:rPr>
      <w:sz w:val="17"/>
      <w:szCs w:val="17"/>
    </w:rPr>
  </w:style>
  <w:style w:type="paragraph" w:styleId="a3">
    <w:name w:val="header"/>
    <w:basedOn w:val="a"/>
    <w:link w:val="a4"/>
    <w:uiPriority w:val="99"/>
    <w:unhideWhenUsed/>
    <w:rsid w:val="007617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177A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nhideWhenUsed/>
    <w:rsid w:val="007617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6177A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6469A"/>
    <w:pPr>
      <w:ind w:leftChars="200" w:left="480"/>
    </w:pPr>
  </w:style>
  <w:style w:type="character" w:styleId="a8">
    <w:name w:val="page number"/>
    <w:basedOn w:val="a0"/>
    <w:rsid w:val="007A7AFB"/>
  </w:style>
  <w:style w:type="character" w:customStyle="1" w:styleId="style51">
    <w:name w:val="style51"/>
    <w:rsid w:val="007A7AFB"/>
    <w:rPr>
      <w:color w:val="0000CC"/>
    </w:rPr>
  </w:style>
  <w:style w:type="paragraph" w:styleId="a9">
    <w:name w:val="Balloon Text"/>
    <w:basedOn w:val="a"/>
    <w:link w:val="aa"/>
    <w:uiPriority w:val="99"/>
    <w:semiHidden/>
    <w:unhideWhenUsed/>
    <w:rsid w:val="00C04F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04F9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F7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351">
    <w:name w:val="style351"/>
    <w:rsid w:val="008E1F78"/>
    <w:rPr>
      <w:sz w:val="17"/>
      <w:szCs w:val="17"/>
    </w:rPr>
  </w:style>
  <w:style w:type="paragraph" w:styleId="a3">
    <w:name w:val="header"/>
    <w:basedOn w:val="a"/>
    <w:link w:val="a4"/>
    <w:uiPriority w:val="99"/>
    <w:unhideWhenUsed/>
    <w:rsid w:val="007617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177A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nhideWhenUsed/>
    <w:rsid w:val="007617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6177A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6469A"/>
    <w:pPr>
      <w:ind w:leftChars="200" w:left="480"/>
    </w:pPr>
  </w:style>
  <w:style w:type="character" w:styleId="a8">
    <w:name w:val="page number"/>
    <w:basedOn w:val="a0"/>
    <w:rsid w:val="007A7AFB"/>
  </w:style>
  <w:style w:type="character" w:customStyle="1" w:styleId="style51">
    <w:name w:val="style51"/>
    <w:rsid w:val="007A7AFB"/>
    <w:rPr>
      <w:color w:val="0000CC"/>
    </w:rPr>
  </w:style>
  <w:style w:type="paragraph" w:styleId="a9">
    <w:name w:val="Balloon Text"/>
    <w:basedOn w:val="a"/>
    <w:link w:val="aa"/>
    <w:uiPriority w:val="99"/>
    <w:semiHidden/>
    <w:unhideWhenUsed/>
    <w:rsid w:val="00C04F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04F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A531A-6DA5-4333-82A3-B4408B5B5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t0328</cp:lastModifiedBy>
  <cp:revision>7</cp:revision>
  <cp:lastPrinted>2012-08-25T13:58:00Z</cp:lastPrinted>
  <dcterms:created xsi:type="dcterms:W3CDTF">2012-08-25T13:58:00Z</dcterms:created>
  <dcterms:modified xsi:type="dcterms:W3CDTF">2012-09-04T07:29:00Z</dcterms:modified>
</cp:coreProperties>
</file>