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6F8" w:rsidRDefault="005706F8" w:rsidP="00352755">
      <w:pPr>
        <w:spacing w:line="240" w:lineRule="atLeast"/>
        <w:jc w:val="center"/>
        <w:rPr>
          <w:rFonts w:ascii="新細明體"/>
          <w:b/>
          <w:sz w:val="40"/>
          <w:szCs w:val="40"/>
        </w:rPr>
      </w:pPr>
      <w:r w:rsidRPr="00352755">
        <w:rPr>
          <w:rFonts w:ascii="新細明體" w:hAnsi="新細明體" w:hint="eastAsia"/>
          <w:b/>
          <w:sz w:val="40"/>
          <w:szCs w:val="40"/>
        </w:rPr>
        <w:t>臺中市政府處理違反市區道路條例事件裁罰基準</w:t>
      </w:r>
    </w:p>
    <w:p w:rsidR="005706F8" w:rsidRPr="00921CCE" w:rsidRDefault="005706F8" w:rsidP="00C654E5">
      <w:pPr>
        <w:spacing w:line="240" w:lineRule="atLeast"/>
        <w:jc w:val="right"/>
        <w:rPr>
          <w:rFonts w:ascii="新細明體"/>
          <w:b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9"/>
          <w:attr w:name="Month" w:val="3"/>
          <w:attr w:name="Year" w:val="2011"/>
        </w:smartTagPr>
        <w:r>
          <w:rPr>
            <w:rFonts w:ascii="細明體" w:eastAsia="細明體" w:hAnsi="細明體" w:hint="eastAsia"/>
            <w:color w:val="000000"/>
          </w:rPr>
          <w:t>中華民國</w:t>
        </w:r>
        <w:r>
          <w:rPr>
            <w:rFonts w:ascii="細明體" w:eastAsia="細明體" w:hAnsi="細明體"/>
            <w:color w:val="000000"/>
          </w:rPr>
          <w:t>100</w:t>
        </w:r>
        <w:r>
          <w:rPr>
            <w:rFonts w:ascii="細明體" w:eastAsia="細明體" w:hAnsi="細明體" w:hint="eastAsia"/>
            <w:color w:val="000000"/>
          </w:rPr>
          <w:t>年</w:t>
        </w:r>
        <w:r>
          <w:rPr>
            <w:rFonts w:ascii="細明體" w:eastAsia="細明體" w:hAnsi="細明體"/>
            <w:color w:val="000000"/>
          </w:rPr>
          <w:t>3</w:t>
        </w:r>
        <w:r>
          <w:rPr>
            <w:rFonts w:ascii="細明體" w:eastAsia="細明體" w:hAnsi="細明體" w:hint="eastAsia"/>
            <w:color w:val="000000"/>
          </w:rPr>
          <w:t>月</w:t>
        </w:r>
        <w:r>
          <w:rPr>
            <w:rFonts w:ascii="細明體" w:eastAsia="細明體" w:hAnsi="細明體"/>
            <w:color w:val="000000"/>
          </w:rPr>
          <w:t>9</w:t>
        </w:r>
        <w:r>
          <w:rPr>
            <w:rFonts w:ascii="細明體" w:eastAsia="細明體" w:hAnsi="細明體" w:hint="eastAsia"/>
            <w:color w:val="000000"/>
          </w:rPr>
          <w:t>日</w:t>
        </w:r>
      </w:smartTag>
      <w:r>
        <w:rPr>
          <w:rFonts w:ascii="細明體" w:eastAsia="細明體" w:hAnsi="細明體" w:hint="eastAsia"/>
          <w:color w:val="000000"/>
        </w:rPr>
        <w:t>府授建養字第</w:t>
      </w:r>
      <w:r>
        <w:rPr>
          <w:rFonts w:ascii="細明體" w:eastAsia="細明體" w:hAnsi="細明體"/>
          <w:color w:val="000000"/>
        </w:rPr>
        <w:t>1000029818</w:t>
      </w:r>
      <w:r>
        <w:rPr>
          <w:rFonts w:ascii="細明體" w:eastAsia="細明體" w:hAnsi="細明體" w:hint="eastAsia"/>
          <w:color w:val="000000"/>
        </w:rPr>
        <w:t>號令訂定發布</w:t>
      </w:r>
    </w:p>
    <w:p w:rsidR="005706F8" w:rsidRPr="00352755" w:rsidRDefault="005706F8" w:rsidP="00753B7B">
      <w:pPr>
        <w:numPr>
          <w:ilvl w:val="0"/>
          <w:numId w:val="1"/>
        </w:numPr>
        <w:spacing w:line="460" w:lineRule="exact"/>
        <w:rPr>
          <w:rFonts w:ascii="新細明體"/>
          <w:b/>
          <w:sz w:val="28"/>
          <w:szCs w:val="28"/>
        </w:rPr>
      </w:pPr>
      <w:r w:rsidRPr="00352755">
        <w:rPr>
          <w:rFonts w:ascii="新細明體" w:hAnsi="新細明體" w:hint="eastAsia"/>
          <w:b/>
          <w:sz w:val="28"/>
          <w:szCs w:val="28"/>
        </w:rPr>
        <w:t>臺中市政府（以下簡稱本府）為有效處理違反市區道路條例事件，建立執法公平性，特訂定本基準。</w:t>
      </w:r>
    </w:p>
    <w:p w:rsidR="005706F8" w:rsidRDefault="005706F8" w:rsidP="00352755">
      <w:pPr>
        <w:numPr>
          <w:ilvl w:val="0"/>
          <w:numId w:val="1"/>
        </w:numPr>
        <w:spacing w:line="460" w:lineRule="exact"/>
        <w:rPr>
          <w:rFonts w:ascii="新細明體"/>
          <w:b/>
          <w:sz w:val="28"/>
          <w:szCs w:val="28"/>
        </w:rPr>
      </w:pPr>
      <w:r w:rsidRPr="00352755">
        <w:rPr>
          <w:rFonts w:ascii="新細明體" w:hAnsi="新細明體" w:hint="eastAsia"/>
          <w:b/>
          <w:sz w:val="28"/>
          <w:szCs w:val="28"/>
        </w:rPr>
        <w:t>本府處理違反市區道路條例事件裁罰基準如下表</w:t>
      </w:r>
      <w:r>
        <w:rPr>
          <w:rFonts w:ascii="新細明體" w:hAnsi="新細明體" w:hint="eastAsia"/>
          <w:b/>
          <w:sz w:val="28"/>
          <w:szCs w:val="28"/>
        </w:rPr>
        <w:t>：</w:t>
      </w:r>
    </w:p>
    <w:p w:rsidR="005706F8" w:rsidRPr="00352755" w:rsidRDefault="005706F8" w:rsidP="00352755">
      <w:pPr>
        <w:spacing w:line="460" w:lineRule="exact"/>
        <w:ind w:left="720"/>
        <w:rPr>
          <w:rFonts w:ascii="新細明體"/>
          <w:b/>
          <w:sz w:val="28"/>
          <w:szCs w:val="28"/>
        </w:rPr>
      </w:pPr>
      <w:bookmarkStart w:id="0" w:name="_GoBack"/>
      <w:bookmarkEnd w:id="0"/>
    </w:p>
    <w:tbl>
      <w:tblPr>
        <w:tblpPr w:leftFromText="181" w:rightFromText="181" w:vertAnchor="text" w:horzAnchor="margin" w:tblpY="143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13"/>
        <w:gridCol w:w="2928"/>
        <w:gridCol w:w="1691"/>
        <w:gridCol w:w="2004"/>
        <w:gridCol w:w="2072"/>
      </w:tblGrid>
      <w:tr w:rsidR="005706F8" w:rsidRPr="00F46A04" w:rsidTr="004662D0">
        <w:trPr>
          <w:trHeight w:val="937"/>
        </w:trPr>
        <w:tc>
          <w:tcPr>
            <w:tcW w:w="279" w:type="pct"/>
            <w:vAlign w:val="center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項次</w:t>
            </w:r>
          </w:p>
        </w:tc>
        <w:tc>
          <w:tcPr>
            <w:tcW w:w="1590" w:type="pct"/>
            <w:vAlign w:val="center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違</w:t>
            </w:r>
            <w:r w:rsidRPr="00F46A04">
              <w:rPr>
                <w:szCs w:val="24"/>
              </w:rPr>
              <w:t xml:space="preserve">   </w:t>
            </w:r>
            <w:r w:rsidRPr="00F46A04">
              <w:rPr>
                <w:rFonts w:hint="eastAsia"/>
                <w:szCs w:val="24"/>
              </w:rPr>
              <w:t>反</w:t>
            </w:r>
            <w:r w:rsidRPr="00F46A04">
              <w:rPr>
                <w:szCs w:val="24"/>
              </w:rPr>
              <w:t xml:space="preserve">   </w:t>
            </w:r>
            <w:r w:rsidRPr="00F46A04">
              <w:rPr>
                <w:rFonts w:hint="eastAsia"/>
                <w:szCs w:val="24"/>
              </w:rPr>
              <w:t>事</w:t>
            </w:r>
            <w:r w:rsidRPr="00F46A04">
              <w:rPr>
                <w:szCs w:val="24"/>
              </w:rPr>
              <w:t xml:space="preserve">   </w:t>
            </w:r>
            <w:r w:rsidRPr="00F46A04">
              <w:rPr>
                <w:rFonts w:hint="eastAsia"/>
                <w:szCs w:val="24"/>
              </w:rPr>
              <w:t>件</w:t>
            </w:r>
          </w:p>
        </w:tc>
        <w:tc>
          <w:tcPr>
            <w:tcW w:w="918" w:type="pct"/>
            <w:vAlign w:val="center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法條依據</w:t>
            </w:r>
          </w:p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szCs w:val="24"/>
              </w:rPr>
              <w:t>(</w:t>
            </w:r>
            <w:r w:rsidRPr="00F46A04">
              <w:rPr>
                <w:rFonts w:hint="eastAsia"/>
                <w:szCs w:val="24"/>
              </w:rPr>
              <w:t>市區道路條例</w:t>
            </w:r>
            <w:r w:rsidRPr="00F46A04">
              <w:rPr>
                <w:szCs w:val="24"/>
              </w:rPr>
              <w:t>)</w:t>
            </w:r>
          </w:p>
        </w:tc>
        <w:tc>
          <w:tcPr>
            <w:tcW w:w="1088" w:type="pct"/>
            <w:tcBorders>
              <w:right w:val="single" w:sz="4" w:space="0" w:color="auto"/>
            </w:tcBorders>
            <w:vAlign w:val="center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法定罰鍰額度或其他處罰</w:t>
            </w:r>
          </w:p>
        </w:tc>
        <w:tc>
          <w:tcPr>
            <w:tcW w:w="1125" w:type="pct"/>
            <w:tcBorders>
              <w:left w:val="single" w:sz="4" w:space="0" w:color="auto"/>
            </w:tcBorders>
            <w:vAlign w:val="center"/>
          </w:tcPr>
          <w:p w:rsidR="005706F8" w:rsidRPr="00F46A04" w:rsidRDefault="005706F8" w:rsidP="00573405">
            <w:pPr>
              <w:rPr>
                <w:rFonts w:cs="細明體"/>
                <w:szCs w:val="24"/>
              </w:rPr>
            </w:pPr>
            <w:r w:rsidRPr="00F46A04">
              <w:rPr>
                <w:rFonts w:cs="細明體" w:hint="eastAsia"/>
                <w:szCs w:val="24"/>
              </w:rPr>
              <w:t>裁罰基準</w:t>
            </w:r>
          </w:p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cs="細明體"/>
                <w:szCs w:val="24"/>
              </w:rPr>
              <w:t>(</w:t>
            </w:r>
            <w:r w:rsidRPr="00F46A04">
              <w:rPr>
                <w:rFonts w:cs="細明體" w:hint="eastAsia"/>
                <w:szCs w:val="24"/>
              </w:rPr>
              <w:t>新臺幣：元）</w:t>
            </w:r>
          </w:p>
        </w:tc>
      </w:tr>
      <w:tr w:rsidR="005706F8" w:rsidRPr="00F46A04" w:rsidTr="004662D0">
        <w:trPr>
          <w:cantSplit/>
          <w:trHeight w:val="1365"/>
        </w:trPr>
        <w:tc>
          <w:tcPr>
            <w:tcW w:w="279" w:type="pct"/>
            <w:vMerge w:val="restart"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  <w:r w:rsidRPr="00F46A04">
              <w:rPr>
                <w:b/>
                <w:bCs/>
                <w:szCs w:val="24"/>
              </w:rPr>
              <w:t>1</w:t>
            </w:r>
          </w:p>
        </w:tc>
        <w:tc>
          <w:tcPr>
            <w:tcW w:w="1590" w:type="pct"/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6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未經許可擅自改建道路兩旁建築物之騎樓及無遮簷人行道地平面，可補辦手續</w:t>
            </w:r>
            <w:r w:rsidRPr="00F46A04">
              <w:rPr>
                <w:szCs w:val="24"/>
              </w:rPr>
              <w:t>,</w:t>
            </w:r>
            <w:r w:rsidRPr="00F46A04">
              <w:rPr>
                <w:rFonts w:hint="eastAsia"/>
                <w:szCs w:val="24"/>
              </w:rPr>
              <w:t>經書面通知限期補辦手續，逾期未辦理者。</w:t>
            </w:r>
          </w:p>
        </w:tc>
        <w:tc>
          <w:tcPr>
            <w:tcW w:w="918" w:type="pct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第九條及第三十三條之一</w:t>
            </w:r>
          </w:p>
        </w:tc>
        <w:tc>
          <w:tcPr>
            <w:tcW w:w="1088" w:type="pct"/>
            <w:tcBorders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未遵期自行改善完成者，處新臺幣五千元以上二萬五千元以下罰鍰，並得按月連續處罰。</w:t>
            </w:r>
          </w:p>
        </w:tc>
        <w:tc>
          <w:tcPr>
            <w:tcW w:w="1125" w:type="pct"/>
            <w:tcBorders>
              <w:lef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處五千元罰鍰，並得按月連續處罰。</w:t>
            </w:r>
          </w:p>
        </w:tc>
      </w:tr>
      <w:tr w:rsidR="005706F8" w:rsidRPr="00F46A04" w:rsidTr="004662D0">
        <w:trPr>
          <w:cantSplit/>
          <w:trHeight w:val="257"/>
        </w:trPr>
        <w:tc>
          <w:tcPr>
            <w:tcW w:w="279" w:type="pct"/>
            <w:vMerge/>
            <w:vAlign w:val="center"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</w:p>
        </w:tc>
        <w:tc>
          <w:tcPr>
            <w:tcW w:w="1590" w:type="pct"/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6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未經許可擅自改建道路兩旁建築物之騎樓及無遮簷人行道地平面，不可補辦手續。經書面通知限期改善，未遵期改善完成者。</w:t>
            </w:r>
          </w:p>
        </w:tc>
        <w:tc>
          <w:tcPr>
            <w:tcW w:w="918" w:type="pct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第九條及第三十三條之一</w:t>
            </w:r>
          </w:p>
        </w:tc>
        <w:tc>
          <w:tcPr>
            <w:tcW w:w="1088" w:type="pct"/>
            <w:tcBorders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未遵期自行改善完成者，處新臺幣五千元以上二萬五千元以下罰鍰，並得按月連續處罰。</w:t>
            </w:r>
          </w:p>
        </w:tc>
        <w:tc>
          <w:tcPr>
            <w:tcW w:w="1125" w:type="pct"/>
            <w:tcBorders>
              <w:lef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處一萬元罰鍰，並得按月連續處罰。</w:t>
            </w:r>
          </w:p>
        </w:tc>
      </w:tr>
      <w:tr w:rsidR="005706F8" w:rsidRPr="00F46A04" w:rsidTr="004662D0">
        <w:trPr>
          <w:cantSplit/>
          <w:trHeight w:val="937"/>
        </w:trPr>
        <w:tc>
          <w:tcPr>
            <w:tcW w:w="279" w:type="pct"/>
            <w:vMerge w:val="restart"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  <w:r w:rsidRPr="00F46A04">
              <w:rPr>
                <w:b/>
                <w:bCs/>
                <w:szCs w:val="24"/>
              </w:rPr>
              <w:t>2</w:t>
            </w:r>
          </w:p>
        </w:tc>
        <w:tc>
          <w:tcPr>
            <w:tcW w:w="1590" w:type="pct"/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7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未經許可擅自在道路用地範圍內設置設施物或建築，可補辦手續者。</w:t>
            </w:r>
          </w:p>
        </w:tc>
        <w:tc>
          <w:tcPr>
            <w:tcW w:w="918" w:type="pct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第十六條及第三十三條第一項</w:t>
            </w:r>
          </w:p>
        </w:tc>
        <w:tc>
          <w:tcPr>
            <w:tcW w:w="1088" w:type="pct"/>
            <w:tcBorders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有擅自建築者，勒令拆除之。</w:t>
            </w:r>
          </w:p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得處新臺幣三萬元以上十五萬元以下罰鍰。</w:t>
            </w:r>
          </w:p>
        </w:tc>
        <w:tc>
          <w:tcPr>
            <w:tcW w:w="1125" w:type="pct"/>
            <w:tcBorders>
              <w:lef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書面通知限期補辦手續，並處三萬元罰鍰。逾期未辦理者，勒令拆除。</w:t>
            </w:r>
          </w:p>
        </w:tc>
      </w:tr>
      <w:tr w:rsidR="005706F8" w:rsidRPr="00F46A04" w:rsidTr="004662D0">
        <w:trPr>
          <w:cantSplit/>
          <w:trHeight w:val="257"/>
        </w:trPr>
        <w:tc>
          <w:tcPr>
            <w:tcW w:w="279" w:type="pct"/>
            <w:vMerge/>
            <w:vAlign w:val="center"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</w:p>
        </w:tc>
        <w:tc>
          <w:tcPr>
            <w:tcW w:w="1590" w:type="pct"/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7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未經許可擅自在道路用地範圍內設置設施物或建築，不可補辦手續者。</w:t>
            </w:r>
          </w:p>
        </w:tc>
        <w:tc>
          <w:tcPr>
            <w:tcW w:w="918" w:type="pct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第十六條及第三十三條第一項</w:t>
            </w:r>
          </w:p>
        </w:tc>
        <w:tc>
          <w:tcPr>
            <w:tcW w:w="1088" w:type="pct"/>
            <w:tcBorders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有擅自建築者，勒令拆除之。</w:t>
            </w:r>
          </w:p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得處新臺幣三萬元以上十五萬元以下罰鍰。</w:t>
            </w:r>
          </w:p>
        </w:tc>
        <w:tc>
          <w:tcPr>
            <w:tcW w:w="1125" w:type="pct"/>
            <w:tcBorders>
              <w:lef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書面通知限期拆除，並處六萬元罰鍰。</w:t>
            </w:r>
          </w:p>
        </w:tc>
      </w:tr>
      <w:tr w:rsidR="005706F8" w:rsidRPr="00F46A04" w:rsidTr="004662D0">
        <w:trPr>
          <w:cantSplit/>
          <w:trHeight w:val="911"/>
        </w:trPr>
        <w:tc>
          <w:tcPr>
            <w:tcW w:w="279" w:type="pct"/>
            <w:vMerge w:val="restart"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  <w:r w:rsidRPr="00F46A04">
              <w:rPr>
                <w:b/>
                <w:bCs/>
                <w:szCs w:val="24"/>
              </w:rPr>
              <w:t>3</w:t>
            </w:r>
          </w:p>
        </w:tc>
        <w:tc>
          <w:tcPr>
            <w:tcW w:w="1590" w:type="pct"/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8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未經許可擅自開挖道</w:t>
            </w:r>
          </w:p>
          <w:p w:rsidR="005706F8" w:rsidRPr="00F46A04" w:rsidRDefault="005706F8" w:rsidP="00352755">
            <w:pPr>
              <w:pStyle w:val="ListParagraph"/>
              <w:ind w:leftChars="0" w:left="36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路，可補辦手續者。</w:t>
            </w:r>
          </w:p>
        </w:tc>
        <w:tc>
          <w:tcPr>
            <w:tcW w:w="918" w:type="pct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第二十七條第一項及三十三條第一項</w:t>
            </w:r>
          </w:p>
        </w:tc>
        <w:tc>
          <w:tcPr>
            <w:tcW w:w="1088" w:type="pct"/>
            <w:tcBorders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得處新臺幣三萬元以上十五萬元以下罰鍰。</w:t>
            </w:r>
          </w:p>
        </w:tc>
        <w:tc>
          <w:tcPr>
            <w:tcW w:w="1125" w:type="pct"/>
            <w:tcBorders>
              <w:left w:val="single" w:sz="4" w:space="0" w:color="auto"/>
            </w:tcBorders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書面通知限期補辦手續，並處四萬元罰鍰。</w:t>
            </w:r>
          </w:p>
        </w:tc>
      </w:tr>
      <w:tr w:rsidR="005706F8" w:rsidRPr="00F46A04" w:rsidTr="004662D0">
        <w:trPr>
          <w:cantSplit/>
          <w:trHeight w:val="257"/>
        </w:trPr>
        <w:tc>
          <w:tcPr>
            <w:tcW w:w="279" w:type="pct"/>
            <w:vMerge/>
            <w:vAlign w:val="center"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</w:p>
        </w:tc>
        <w:tc>
          <w:tcPr>
            <w:tcW w:w="1590" w:type="pct"/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8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未經許可擅自開挖道</w:t>
            </w:r>
          </w:p>
          <w:p w:rsidR="005706F8" w:rsidRPr="00F46A04" w:rsidRDefault="005706F8" w:rsidP="00352755">
            <w:pPr>
              <w:pStyle w:val="ListParagraph"/>
              <w:ind w:leftChars="0" w:left="36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路，不可補辦手續者。</w:t>
            </w:r>
          </w:p>
        </w:tc>
        <w:tc>
          <w:tcPr>
            <w:tcW w:w="918" w:type="pct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第二十七條第一項及第三十三條第一項</w:t>
            </w:r>
          </w:p>
        </w:tc>
        <w:tc>
          <w:tcPr>
            <w:tcW w:w="1088" w:type="pct"/>
            <w:tcBorders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得處新臺幣三萬元以上十五萬元以下罰鍰。</w:t>
            </w:r>
          </w:p>
        </w:tc>
        <w:tc>
          <w:tcPr>
            <w:tcW w:w="1125" w:type="pct"/>
            <w:tcBorders>
              <w:lef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書面通知限期修復改善，並處八萬元罰鍰。</w:t>
            </w:r>
          </w:p>
        </w:tc>
      </w:tr>
      <w:tr w:rsidR="005706F8" w:rsidRPr="00F46A04" w:rsidTr="004662D0">
        <w:trPr>
          <w:cantSplit/>
          <w:trHeight w:val="257"/>
        </w:trPr>
        <w:tc>
          <w:tcPr>
            <w:tcW w:w="279" w:type="pct"/>
            <w:vMerge/>
            <w:vAlign w:val="center"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</w:p>
        </w:tc>
        <w:tc>
          <w:tcPr>
            <w:tcW w:w="1590" w:type="pct"/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8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挖掘超過許可範圍，可</w:t>
            </w:r>
          </w:p>
          <w:p w:rsidR="005706F8" w:rsidRPr="00F46A04" w:rsidRDefault="005706F8" w:rsidP="00352755">
            <w:pPr>
              <w:pStyle w:val="ListParagraph"/>
              <w:ind w:leftChars="0" w:left="36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補辦手續者。</w:t>
            </w:r>
          </w:p>
        </w:tc>
        <w:tc>
          <w:tcPr>
            <w:tcW w:w="918" w:type="pct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第二十七條第一項及第三十三條第一項</w:t>
            </w:r>
          </w:p>
        </w:tc>
        <w:tc>
          <w:tcPr>
            <w:tcW w:w="1088" w:type="pct"/>
            <w:tcBorders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得處新臺幣三萬元以上十五萬元以下罰鍰。</w:t>
            </w:r>
          </w:p>
        </w:tc>
        <w:tc>
          <w:tcPr>
            <w:tcW w:w="1125" w:type="pct"/>
            <w:tcBorders>
              <w:lef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書面通知限期補辦手續，並處三萬元罰鍰。</w:t>
            </w:r>
          </w:p>
        </w:tc>
      </w:tr>
      <w:tr w:rsidR="005706F8" w:rsidRPr="00F46A04" w:rsidTr="004662D0">
        <w:trPr>
          <w:cantSplit/>
          <w:trHeight w:val="257"/>
        </w:trPr>
        <w:tc>
          <w:tcPr>
            <w:tcW w:w="279" w:type="pct"/>
            <w:vMerge/>
            <w:vAlign w:val="center"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</w:p>
        </w:tc>
        <w:tc>
          <w:tcPr>
            <w:tcW w:w="1590" w:type="pct"/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8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挖掘超過許可範圍，不</w:t>
            </w:r>
          </w:p>
          <w:p w:rsidR="005706F8" w:rsidRPr="00F46A04" w:rsidRDefault="005706F8" w:rsidP="00352755">
            <w:pPr>
              <w:pStyle w:val="ListParagraph"/>
              <w:ind w:leftChars="0" w:left="36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可補辦手續者。</w:t>
            </w:r>
          </w:p>
        </w:tc>
        <w:tc>
          <w:tcPr>
            <w:tcW w:w="918" w:type="pct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第二十七條第一項及第三十三條第一項</w:t>
            </w:r>
          </w:p>
        </w:tc>
        <w:tc>
          <w:tcPr>
            <w:tcW w:w="1088" w:type="pct"/>
            <w:tcBorders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得處新臺幣三萬元以上十五萬元以下罰鍰。</w:t>
            </w:r>
          </w:p>
        </w:tc>
        <w:tc>
          <w:tcPr>
            <w:tcW w:w="1125" w:type="pct"/>
            <w:tcBorders>
              <w:lef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處三萬元罰鍰並書面通知限期改善。</w:t>
            </w:r>
          </w:p>
        </w:tc>
      </w:tr>
      <w:tr w:rsidR="005706F8" w:rsidRPr="00F46A04" w:rsidTr="004662D0">
        <w:trPr>
          <w:cantSplit/>
          <w:trHeight w:val="257"/>
        </w:trPr>
        <w:tc>
          <w:tcPr>
            <w:tcW w:w="279" w:type="pct"/>
            <w:vMerge/>
            <w:vAlign w:val="center"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</w:p>
        </w:tc>
        <w:tc>
          <w:tcPr>
            <w:tcW w:w="1590" w:type="pct"/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8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未依許可期限，提前或</w:t>
            </w:r>
          </w:p>
          <w:p w:rsidR="005706F8" w:rsidRPr="00F46A04" w:rsidRDefault="005706F8" w:rsidP="00352755">
            <w:pPr>
              <w:pStyle w:val="ListParagraph"/>
              <w:ind w:leftChars="0" w:left="36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延後施工者。</w:t>
            </w:r>
          </w:p>
        </w:tc>
        <w:tc>
          <w:tcPr>
            <w:tcW w:w="918" w:type="pct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第二十七條第一項及第三十三條第一項</w:t>
            </w:r>
          </w:p>
        </w:tc>
        <w:tc>
          <w:tcPr>
            <w:tcW w:w="1088" w:type="pct"/>
            <w:tcBorders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ascii="新細明體"/>
                <w:szCs w:val="24"/>
              </w:rPr>
            </w:pPr>
            <w:r w:rsidRPr="00F46A04">
              <w:rPr>
                <w:rFonts w:ascii="新細明體" w:hAnsi="新細明體" w:hint="eastAsia"/>
                <w:szCs w:val="24"/>
              </w:rPr>
              <w:t>得處新臺幣三萬元以上十五萬元以下罰鍰。處三萬元罰鍰。</w:t>
            </w:r>
          </w:p>
        </w:tc>
        <w:tc>
          <w:tcPr>
            <w:tcW w:w="1125" w:type="pct"/>
            <w:tcBorders>
              <w:lef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處三萬元罰鍰。</w:t>
            </w:r>
          </w:p>
        </w:tc>
      </w:tr>
      <w:tr w:rsidR="005706F8" w:rsidRPr="00F46A04" w:rsidTr="004662D0">
        <w:trPr>
          <w:cantSplit/>
          <w:trHeight w:val="257"/>
        </w:trPr>
        <w:tc>
          <w:tcPr>
            <w:tcW w:w="279" w:type="pct"/>
            <w:vMerge/>
            <w:vAlign w:val="center"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</w:p>
        </w:tc>
        <w:tc>
          <w:tcPr>
            <w:tcW w:w="1590" w:type="pct"/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8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經許可挖掘未於當日許可時間內施工並修復路面收工者。</w:t>
            </w:r>
          </w:p>
        </w:tc>
        <w:tc>
          <w:tcPr>
            <w:tcW w:w="918" w:type="pct"/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第二十七第一項及第三十三條第一項</w:t>
            </w:r>
          </w:p>
        </w:tc>
        <w:tc>
          <w:tcPr>
            <w:tcW w:w="1088" w:type="pct"/>
            <w:tcBorders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ascii="新細明體"/>
                <w:szCs w:val="24"/>
              </w:rPr>
            </w:pPr>
            <w:r w:rsidRPr="00F46A04">
              <w:rPr>
                <w:rFonts w:ascii="新細明體" w:hAnsi="新細明體" w:hint="eastAsia"/>
                <w:szCs w:val="24"/>
              </w:rPr>
              <w:t>得處新臺幣三萬元以上十五萬元以下罰鍰。</w:t>
            </w:r>
          </w:p>
        </w:tc>
        <w:tc>
          <w:tcPr>
            <w:tcW w:w="1125" w:type="pct"/>
            <w:tcBorders>
              <w:lef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處三萬元罰鍰。</w:t>
            </w:r>
          </w:p>
        </w:tc>
      </w:tr>
      <w:tr w:rsidR="005706F8" w:rsidRPr="00F46A04" w:rsidTr="00573405">
        <w:trPr>
          <w:cantSplit/>
          <w:trHeight w:val="3967"/>
        </w:trPr>
        <w:tc>
          <w:tcPr>
            <w:tcW w:w="279" w:type="pct"/>
            <w:vMerge w:val="restart"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  <w:r w:rsidRPr="00F46A04">
              <w:rPr>
                <w:b/>
                <w:bCs/>
                <w:szCs w:val="24"/>
              </w:rPr>
              <w:t>4</w:t>
            </w:r>
          </w:p>
        </w:tc>
        <w:tc>
          <w:tcPr>
            <w:tcW w:w="1590" w:type="pct"/>
            <w:tcBorders>
              <w:bottom w:val="single" w:sz="4" w:space="0" w:color="auto"/>
            </w:tcBorders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9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經許可挖掘，應分層夯</w:t>
            </w:r>
          </w:p>
          <w:p w:rsidR="005706F8" w:rsidRPr="00F46A04" w:rsidRDefault="005706F8" w:rsidP="00352755">
            <w:pPr>
              <w:pStyle w:val="ListParagraph"/>
              <w:ind w:leftChars="0" w:left="36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實之回填材料未依規分層夯實，或回填材料與設計不符者。</w:t>
            </w:r>
          </w:p>
        </w:tc>
        <w:tc>
          <w:tcPr>
            <w:tcW w:w="918" w:type="pct"/>
            <w:tcBorders>
              <w:bottom w:val="single" w:sz="4" w:space="0" w:color="auto"/>
            </w:tcBorders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第二十七條第二項第二款及第三十三條第二項</w:t>
            </w:r>
          </w:p>
        </w:tc>
        <w:tc>
          <w:tcPr>
            <w:tcW w:w="1088" w:type="pct"/>
            <w:tcBorders>
              <w:bottom w:val="single" w:sz="4" w:space="0" w:color="auto"/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ascii="新細明體"/>
                <w:szCs w:val="24"/>
              </w:rPr>
            </w:pPr>
            <w:r w:rsidRPr="00F46A04">
              <w:rPr>
                <w:rFonts w:ascii="新細明體" w:hAnsi="新細明體" w:hint="eastAsia"/>
                <w:szCs w:val="24"/>
              </w:rPr>
              <w:t>得處新臺幣三萬元以上十五萬元以下罰鍰，並得按次連續處罰。</w:t>
            </w:r>
          </w:p>
        </w:tc>
        <w:tc>
          <w:tcPr>
            <w:tcW w:w="1125" w:type="pct"/>
            <w:tcBorders>
              <w:left w:val="single" w:sz="4" w:space="0" w:color="auto"/>
              <w:bottom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第一次：書面通知限期改善。</w:t>
            </w:r>
          </w:p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第二次以上者：處三萬元罰鍰，並書面通知限期改善。並得按次連續處罰，至其完成改善為止。</w:t>
            </w:r>
          </w:p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次數之計算以同一工程在同一申挖區域，按書面通知限期改善之次數計算。</w:t>
            </w:r>
          </w:p>
        </w:tc>
      </w:tr>
      <w:tr w:rsidR="005706F8" w:rsidRPr="00F46A04" w:rsidTr="004662D0">
        <w:trPr>
          <w:cantSplit/>
          <w:trHeight w:val="874"/>
        </w:trPr>
        <w:tc>
          <w:tcPr>
            <w:tcW w:w="279" w:type="pct"/>
            <w:vMerge/>
          </w:tcPr>
          <w:p w:rsidR="005706F8" w:rsidRPr="00F46A04" w:rsidRDefault="005706F8" w:rsidP="00573405">
            <w:pPr>
              <w:rPr>
                <w:b/>
                <w:bCs/>
                <w:szCs w:val="24"/>
              </w:rPr>
            </w:pPr>
          </w:p>
        </w:tc>
        <w:tc>
          <w:tcPr>
            <w:tcW w:w="1590" w:type="pct"/>
            <w:tcBorders>
              <w:top w:val="single" w:sz="4" w:space="0" w:color="auto"/>
            </w:tcBorders>
          </w:tcPr>
          <w:p w:rsidR="005706F8" w:rsidRPr="00F46A04" w:rsidRDefault="005706F8" w:rsidP="00352755">
            <w:pPr>
              <w:pStyle w:val="ListParagraph"/>
              <w:numPr>
                <w:ilvl w:val="0"/>
                <w:numId w:val="9"/>
              </w:numPr>
              <w:ind w:leftChars="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其他經許可挖掘，未於</w:t>
            </w:r>
          </w:p>
          <w:p w:rsidR="005706F8" w:rsidRPr="00F46A04" w:rsidRDefault="005706F8" w:rsidP="00352755">
            <w:pPr>
              <w:pStyle w:val="ListParagraph"/>
              <w:ind w:leftChars="0" w:left="360"/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規定期限內修復道路或修復不良者</w:t>
            </w:r>
            <w:r w:rsidRPr="00F46A04">
              <w:rPr>
                <w:szCs w:val="24"/>
              </w:rPr>
              <w:t>(</w:t>
            </w:r>
            <w:r w:rsidRPr="00F46A04">
              <w:rPr>
                <w:rFonts w:hint="eastAsia"/>
                <w:szCs w:val="24"/>
              </w:rPr>
              <w:t>指施工範圍經開放通行之區域，有道路未封層，或已封層之道路呈波浪狀、凹陷、高凸、破損、埋設物未與面層接平</w:t>
            </w:r>
            <w:r w:rsidRPr="00F46A04">
              <w:rPr>
                <w:szCs w:val="24"/>
              </w:rPr>
              <w:t>)</w:t>
            </w:r>
            <w:r w:rsidRPr="00F46A04">
              <w:rPr>
                <w:rFonts w:hint="eastAsia"/>
                <w:szCs w:val="24"/>
              </w:rPr>
              <w:t>。</w:t>
            </w:r>
          </w:p>
        </w:tc>
        <w:tc>
          <w:tcPr>
            <w:tcW w:w="918" w:type="pct"/>
            <w:tcBorders>
              <w:top w:val="single" w:sz="4" w:space="0" w:color="auto"/>
            </w:tcBorders>
          </w:tcPr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第二十七條第二項第二款及第三十三條第二項</w:t>
            </w:r>
          </w:p>
        </w:tc>
        <w:tc>
          <w:tcPr>
            <w:tcW w:w="1088" w:type="pct"/>
            <w:tcBorders>
              <w:top w:val="single" w:sz="4" w:space="0" w:color="auto"/>
              <w:right w:val="single" w:sz="4" w:space="0" w:color="auto"/>
            </w:tcBorders>
          </w:tcPr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得處新臺幣三萬元以上十五萬元以下罰鍰，並得按次連續處罰。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auto"/>
            </w:tcBorders>
          </w:tcPr>
          <w:p w:rsidR="005706F8" w:rsidRPr="00F46A04" w:rsidRDefault="005706F8" w:rsidP="00573405">
            <w:pPr>
              <w:pStyle w:val="ListParagraph"/>
              <w:numPr>
                <w:ilvl w:val="0"/>
                <w:numId w:val="5"/>
              </w:numPr>
              <w:ind w:leftChars="0"/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修復不良情形，</w:t>
            </w:r>
          </w:p>
          <w:p w:rsidR="005706F8" w:rsidRPr="00F46A04" w:rsidRDefault="005706F8" w:rsidP="00573405">
            <w:pPr>
              <w:pStyle w:val="ListParagraph"/>
              <w:ind w:leftChars="0" w:left="408"/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以目視量測變形程度高低差在零點六至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5"/>
                <w:attr w:name="UnitName" w:val="公分"/>
              </w:smartTagPr>
              <w:r w:rsidRPr="00F46A04">
                <w:rPr>
                  <w:rFonts w:cs="細明體" w:hint="eastAsia"/>
                  <w:kern w:val="0"/>
                  <w:szCs w:val="24"/>
                </w:rPr>
                <w:t>五公分</w:t>
              </w:r>
            </w:smartTag>
            <w:r w:rsidRPr="00F46A04">
              <w:rPr>
                <w:rFonts w:cs="細明體" w:hint="eastAsia"/>
                <w:kern w:val="0"/>
                <w:szCs w:val="24"/>
              </w:rPr>
              <w:t>或未於期限內修復者：</w:t>
            </w:r>
          </w:p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第一次：書面通知限期改善。</w:t>
            </w:r>
          </w:p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第二次：處三萬元罰鍰，並書面通知限期改善。</w:t>
            </w:r>
          </w:p>
          <w:p w:rsidR="005706F8" w:rsidRPr="00F46A04" w:rsidRDefault="005706F8" w:rsidP="00573405">
            <w:pPr>
              <w:rPr>
                <w:szCs w:val="24"/>
              </w:rPr>
            </w:pPr>
            <w:r w:rsidRPr="00F46A04">
              <w:rPr>
                <w:rFonts w:hint="eastAsia"/>
                <w:szCs w:val="24"/>
              </w:rPr>
              <w:t>第三次以上者：處六萬元罰鍰，並書面通知限期改善；並得按次連續處罰，至其完成改善為止。</w:t>
            </w:r>
          </w:p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 xml:space="preserve">　　次數之計算以同一工程在同一申挖區域，按書面通知限期改善之次數計算。</w:t>
            </w:r>
          </w:p>
          <w:p w:rsidR="005706F8" w:rsidRPr="00F46A04" w:rsidRDefault="005706F8" w:rsidP="00573405">
            <w:pPr>
              <w:rPr>
                <w:rFonts w:cs="細明體"/>
                <w:kern w:val="0"/>
                <w:szCs w:val="24"/>
              </w:rPr>
            </w:pPr>
            <w:r w:rsidRPr="00F46A04">
              <w:rPr>
                <w:rFonts w:cs="細明體" w:hint="eastAsia"/>
                <w:kern w:val="0"/>
                <w:szCs w:val="24"/>
              </w:rPr>
              <w:t>修復不良情形嚴重者</w:t>
            </w:r>
            <w:r w:rsidRPr="00F46A04">
              <w:rPr>
                <w:rFonts w:cs="細明體"/>
                <w:kern w:val="0"/>
                <w:szCs w:val="24"/>
              </w:rPr>
              <w:t>(</w:t>
            </w:r>
            <w:r w:rsidRPr="00F46A04">
              <w:rPr>
                <w:rFonts w:cs="細明體" w:hint="eastAsia"/>
                <w:kern w:val="0"/>
                <w:szCs w:val="24"/>
              </w:rPr>
              <w:t>經以量尺或以物品比對，其變形程度高低差超過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5"/>
                <w:attr w:name="UnitName" w:val="公分"/>
              </w:smartTagPr>
              <w:r w:rsidRPr="00F46A04">
                <w:rPr>
                  <w:rFonts w:cs="細明體" w:hint="eastAsia"/>
                  <w:kern w:val="0"/>
                  <w:szCs w:val="24"/>
                </w:rPr>
                <w:t>五公分</w:t>
              </w:r>
            </w:smartTag>
            <w:r w:rsidRPr="00F46A04">
              <w:rPr>
                <w:rFonts w:cs="細明體" w:hint="eastAsia"/>
                <w:kern w:val="0"/>
                <w:szCs w:val="24"/>
              </w:rPr>
              <w:t>者</w:t>
            </w:r>
            <w:r w:rsidRPr="00F46A04">
              <w:rPr>
                <w:rFonts w:cs="細明體"/>
                <w:kern w:val="0"/>
                <w:szCs w:val="24"/>
              </w:rPr>
              <w:t>)</w:t>
            </w:r>
            <w:r w:rsidRPr="00F46A04">
              <w:rPr>
                <w:rFonts w:cs="細明體" w:hint="eastAsia"/>
                <w:kern w:val="0"/>
                <w:szCs w:val="24"/>
              </w:rPr>
              <w:t>，依前項裁罰加重一點五倍處分。</w:t>
            </w:r>
          </w:p>
        </w:tc>
      </w:tr>
    </w:tbl>
    <w:p w:rsidR="005706F8" w:rsidRPr="00A53A62" w:rsidRDefault="005706F8">
      <w:pPr>
        <w:rPr>
          <w:szCs w:val="24"/>
        </w:rPr>
      </w:pPr>
    </w:p>
    <w:sectPr w:rsidR="005706F8" w:rsidRPr="00A53A62" w:rsidSect="00352755">
      <w:pgSz w:w="11906" w:h="16838"/>
      <w:pgMar w:top="1701" w:right="1440" w:bottom="1701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6F8" w:rsidRDefault="005706F8" w:rsidP="00573405">
      <w:r>
        <w:separator/>
      </w:r>
    </w:p>
  </w:endnote>
  <w:endnote w:type="continuationSeparator" w:id="0">
    <w:p w:rsidR="005706F8" w:rsidRDefault="005706F8" w:rsidP="00573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6F8" w:rsidRDefault="005706F8" w:rsidP="00573405">
      <w:r>
        <w:separator/>
      </w:r>
    </w:p>
  </w:footnote>
  <w:footnote w:type="continuationSeparator" w:id="0">
    <w:p w:rsidR="005706F8" w:rsidRDefault="005706F8" w:rsidP="005734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92F2F"/>
    <w:multiLevelType w:val="hybridMultilevel"/>
    <w:tmpl w:val="31E80DE8"/>
    <w:lvl w:ilvl="0" w:tplc="7C6489F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2611D7A"/>
    <w:multiLevelType w:val="hybridMultilevel"/>
    <w:tmpl w:val="A096428E"/>
    <w:lvl w:ilvl="0" w:tplc="93C69AF8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25DE6BA7"/>
    <w:multiLevelType w:val="hybridMultilevel"/>
    <w:tmpl w:val="17C401AA"/>
    <w:lvl w:ilvl="0" w:tplc="647EBED8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72D5B71"/>
    <w:multiLevelType w:val="hybridMultilevel"/>
    <w:tmpl w:val="3878DBCC"/>
    <w:lvl w:ilvl="0" w:tplc="14EC07D0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4B025AFA"/>
    <w:multiLevelType w:val="hybridMultilevel"/>
    <w:tmpl w:val="3C2CD43E"/>
    <w:lvl w:ilvl="0" w:tplc="80248178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4E8348E7"/>
    <w:multiLevelType w:val="hybridMultilevel"/>
    <w:tmpl w:val="CE8C6190"/>
    <w:lvl w:ilvl="0" w:tplc="47DAE070">
      <w:start w:val="1"/>
      <w:numFmt w:val="taiwaneseCountingThousand"/>
      <w:lvlText w:val="%1、"/>
      <w:lvlJc w:val="left"/>
      <w:pPr>
        <w:ind w:left="432" w:hanging="432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50102EFB"/>
    <w:multiLevelType w:val="hybridMultilevel"/>
    <w:tmpl w:val="442261C4"/>
    <w:lvl w:ilvl="0" w:tplc="C174202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5DD32329"/>
    <w:multiLevelType w:val="hybridMultilevel"/>
    <w:tmpl w:val="B836A090"/>
    <w:lvl w:ilvl="0" w:tplc="078CDA64">
      <w:start w:val="1"/>
      <w:numFmt w:val="taiwaneseCountingThousand"/>
      <w:lvlText w:val="%1、"/>
      <w:lvlJc w:val="left"/>
      <w:pPr>
        <w:ind w:left="408" w:hanging="408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7E8D4036"/>
    <w:multiLevelType w:val="hybridMultilevel"/>
    <w:tmpl w:val="D250DCD6"/>
    <w:lvl w:ilvl="0" w:tplc="3A064404">
      <w:start w:val="1"/>
      <w:numFmt w:val="taiwaneseCountingThousand"/>
      <w:lvlText w:val="%1、"/>
      <w:lvlJc w:val="left"/>
      <w:pPr>
        <w:ind w:left="432" w:hanging="432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3A62"/>
    <w:rsid w:val="000405B4"/>
    <w:rsid w:val="00296002"/>
    <w:rsid w:val="003269D0"/>
    <w:rsid w:val="00352755"/>
    <w:rsid w:val="004662D0"/>
    <w:rsid w:val="005706F8"/>
    <w:rsid w:val="00573405"/>
    <w:rsid w:val="006F3320"/>
    <w:rsid w:val="00744BBD"/>
    <w:rsid w:val="00753B7B"/>
    <w:rsid w:val="00921CCE"/>
    <w:rsid w:val="00990758"/>
    <w:rsid w:val="00A53A62"/>
    <w:rsid w:val="00C654E5"/>
    <w:rsid w:val="00F46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5B4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rsid w:val="00A53A6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53A62"/>
    <w:rPr>
      <w:rFonts w:ascii="細明體" w:eastAsia="細明體" w:hAnsi="細明體" w:cs="細明體"/>
      <w:kern w:val="0"/>
      <w:sz w:val="24"/>
      <w:szCs w:val="24"/>
    </w:rPr>
  </w:style>
  <w:style w:type="paragraph" w:styleId="ListParagraph">
    <w:name w:val="List Paragraph"/>
    <w:basedOn w:val="Normal"/>
    <w:uiPriority w:val="99"/>
    <w:qFormat/>
    <w:rsid w:val="004662D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573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7340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573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7340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73405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3405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048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243</Words>
  <Characters>1391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臺中市政府處理違反市區道路條例事件裁罰基準</dc:title>
  <dc:subject/>
  <dc:creator>acer</dc:creator>
  <cp:keywords/>
  <dc:description/>
  <cp:lastModifiedBy>Administrator</cp:lastModifiedBy>
  <cp:revision>2</cp:revision>
  <cp:lastPrinted>2012-07-18T06:27:00Z</cp:lastPrinted>
  <dcterms:created xsi:type="dcterms:W3CDTF">2012-07-27T02:35:00Z</dcterms:created>
  <dcterms:modified xsi:type="dcterms:W3CDTF">2012-07-27T02:35:00Z</dcterms:modified>
</cp:coreProperties>
</file>