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FB1" w:rsidRDefault="00577FB1" w:rsidP="001B49FF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6B4C4E">
        <w:rPr>
          <w:rFonts w:ascii="標楷體" w:eastAsia="標楷體" w:hAnsi="標楷體" w:hint="eastAsia"/>
          <w:b/>
          <w:sz w:val="48"/>
          <w:szCs w:val="48"/>
        </w:rPr>
        <w:t>臺中市政府開源節流方案</w:t>
      </w:r>
    </w:p>
    <w:p w:rsidR="00577FB1" w:rsidRPr="00B93BA2" w:rsidRDefault="00577FB1" w:rsidP="00B93BA2">
      <w:pPr>
        <w:jc w:val="right"/>
        <w:rPr>
          <w:rFonts w:ascii="標楷體" w:eastAsia="標楷體" w:hAnsi="標楷體"/>
          <w:b/>
          <w:sz w:val="48"/>
          <w:szCs w:val="4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9"/>
          <w:attr w:name="Month" w:val="11"/>
          <w:attr w:name="Year" w:val="2011"/>
        </w:smartTagPr>
        <w:r w:rsidRPr="00B93BA2">
          <w:rPr>
            <w:rFonts w:ascii="標楷體" w:eastAsia="標楷體" w:hAnsi="標楷體" w:hint="eastAsia"/>
            <w:color w:val="000000"/>
          </w:rPr>
          <w:t>中華民國</w:t>
        </w:r>
        <w:r w:rsidRPr="00B93BA2">
          <w:rPr>
            <w:rFonts w:ascii="標楷體" w:eastAsia="標楷體" w:hAnsi="標楷體"/>
            <w:color w:val="000000"/>
          </w:rPr>
          <w:t>100</w:t>
        </w:r>
        <w:r w:rsidRPr="00B93BA2">
          <w:rPr>
            <w:rFonts w:ascii="標楷體" w:eastAsia="標楷體" w:hAnsi="標楷體" w:hint="eastAsia"/>
            <w:color w:val="000000"/>
          </w:rPr>
          <w:t>年</w:t>
        </w:r>
        <w:r w:rsidRPr="00B93BA2">
          <w:rPr>
            <w:rFonts w:ascii="標楷體" w:eastAsia="標楷體" w:hAnsi="標楷體"/>
            <w:color w:val="000000"/>
          </w:rPr>
          <w:t>11</w:t>
        </w:r>
        <w:r w:rsidRPr="00B93BA2">
          <w:rPr>
            <w:rFonts w:ascii="標楷體" w:eastAsia="標楷體" w:hAnsi="標楷體" w:hint="eastAsia"/>
            <w:color w:val="000000"/>
          </w:rPr>
          <w:t>月</w:t>
        </w:r>
        <w:r w:rsidRPr="00B93BA2">
          <w:rPr>
            <w:rFonts w:ascii="標楷體" w:eastAsia="標楷體" w:hAnsi="標楷體"/>
            <w:color w:val="000000"/>
          </w:rPr>
          <w:t>9</w:t>
        </w:r>
        <w:r w:rsidRPr="00B93BA2">
          <w:rPr>
            <w:rFonts w:ascii="標楷體" w:eastAsia="標楷體" w:hAnsi="標楷體" w:hint="eastAsia"/>
            <w:color w:val="000000"/>
          </w:rPr>
          <w:t>日</w:t>
        </w:r>
      </w:smartTag>
      <w:r w:rsidRPr="00B93BA2">
        <w:rPr>
          <w:rFonts w:ascii="標楷體" w:eastAsia="標楷體" w:hAnsi="標楷體" w:hint="eastAsia"/>
          <w:color w:val="000000"/>
        </w:rPr>
        <w:t>府授財務字第</w:t>
      </w:r>
      <w:r w:rsidRPr="00B93BA2">
        <w:rPr>
          <w:rFonts w:ascii="標楷體" w:eastAsia="標楷體" w:hAnsi="標楷體"/>
          <w:color w:val="000000"/>
        </w:rPr>
        <w:t>1000220540</w:t>
      </w:r>
      <w:r w:rsidRPr="00B93BA2">
        <w:rPr>
          <w:rFonts w:ascii="標楷體" w:eastAsia="標楷體" w:hAnsi="標楷體" w:hint="eastAsia"/>
          <w:color w:val="000000"/>
        </w:rPr>
        <w:t>號函訂定</w:t>
      </w:r>
    </w:p>
    <w:p w:rsidR="00577FB1" w:rsidRPr="006B4C4E" w:rsidRDefault="00577FB1" w:rsidP="001D53F2">
      <w:pPr>
        <w:tabs>
          <w:tab w:val="left" w:pos="4500"/>
        </w:tabs>
        <w:kinsoku w:val="0"/>
        <w:adjustRightInd w:val="0"/>
        <w:spacing w:line="460" w:lineRule="exact"/>
        <w:ind w:left="1247" w:hanging="1247"/>
        <w:jc w:val="both"/>
        <w:textAlignment w:val="baseline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一</w:t>
      </w:r>
      <w:r w:rsidRPr="006B4C4E"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、依據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：</w:t>
      </w:r>
    </w:p>
    <w:p w:rsidR="00577FB1" w:rsidRPr="006B4C4E" w:rsidRDefault="00577FB1" w:rsidP="003911F1">
      <w:pPr>
        <w:kinsoku w:val="0"/>
        <w:adjustRightInd w:val="0"/>
        <w:spacing w:line="460" w:lineRule="exact"/>
        <w:ind w:leftChars="175" w:left="424" w:hangingChars="1" w:hanging="4"/>
        <w:jc w:val="both"/>
        <w:textAlignment w:val="baseline"/>
        <w:outlineLvl w:val="0"/>
        <w:rPr>
          <w:rFonts w:ascii="標楷體" w:eastAsia="標楷體" w:hAnsi="Times New Roman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w w:val="105"/>
          <w:kern w:val="16"/>
          <w:sz w:val="36"/>
          <w:szCs w:val="36"/>
        </w:rPr>
        <w:t>財政收支劃分法第三十五條之一暨中央對直轄市及縣</w:t>
      </w:r>
      <w:r>
        <w:rPr>
          <w:rFonts w:ascii="標楷體" w:eastAsia="標楷體" w:hAnsi="Times New Roman"/>
          <w:w w:val="105"/>
          <w:kern w:val="16"/>
          <w:sz w:val="36"/>
          <w:szCs w:val="36"/>
        </w:rPr>
        <w:t>(</w:t>
      </w:r>
      <w:r>
        <w:rPr>
          <w:rFonts w:ascii="標楷體" w:eastAsia="標楷體" w:hAnsi="Times New Roman" w:hint="eastAsia"/>
          <w:w w:val="105"/>
          <w:kern w:val="16"/>
          <w:sz w:val="36"/>
          <w:szCs w:val="36"/>
        </w:rPr>
        <w:t>市</w:t>
      </w:r>
      <w:r>
        <w:rPr>
          <w:rFonts w:ascii="標楷體" w:eastAsia="標楷體" w:hAnsi="Times New Roman"/>
          <w:w w:val="105"/>
          <w:kern w:val="16"/>
          <w:sz w:val="36"/>
          <w:szCs w:val="36"/>
        </w:rPr>
        <w:t>)</w:t>
      </w:r>
      <w:r>
        <w:rPr>
          <w:rFonts w:ascii="標楷體" w:eastAsia="標楷體" w:hAnsi="Times New Roman" w:hint="eastAsia"/>
          <w:w w:val="105"/>
          <w:kern w:val="16"/>
          <w:sz w:val="36"/>
          <w:szCs w:val="36"/>
        </w:rPr>
        <w:t>政府補助辦法第五條。</w:t>
      </w:r>
    </w:p>
    <w:p w:rsidR="00577FB1" w:rsidRPr="006B4C4E" w:rsidRDefault="00577FB1" w:rsidP="001D53F2">
      <w:pPr>
        <w:kinsoku w:val="0"/>
        <w:adjustRightInd w:val="0"/>
        <w:spacing w:line="460" w:lineRule="exact"/>
        <w:ind w:left="1247" w:hanging="1247"/>
        <w:jc w:val="both"/>
        <w:textAlignment w:val="baseline"/>
        <w:outlineLvl w:val="0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二</w:t>
      </w:r>
      <w:r w:rsidRPr="006B4C4E"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、目標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：</w:t>
      </w:r>
    </w:p>
    <w:p w:rsidR="00577FB1" w:rsidRDefault="00577FB1" w:rsidP="003B0153">
      <w:pPr>
        <w:kinsoku w:val="0"/>
        <w:adjustRightInd w:val="0"/>
        <w:spacing w:line="460" w:lineRule="exact"/>
        <w:ind w:left="1305" w:hanging="851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一</w:t>
      </w:r>
      <w:r>
        <w:rPr>
          <w:rFonts w:ascii="標楷體" w:eastAsia="標楷體" w:hAnsi="Times New Roman"/>
          <w:sz w:val="36"/>
          <w:szCs w:val="36"/>
        </w:rPr>
        <w:t>)</w:t>
      </w:r>
      <w:r w:rsidRPr="003B0153">
        <w:rPr>
          <w:rFonts w:ascii="標楷體" w:eastAsia="標楷體" w:hAnsi="Times New Roman" w:hint="eastAsia"/>
          <w:sz w:val="36"/>
          <w:szCs w:val="36"/>
        </w:rPr>
        <w:t>積極開闢地方財源，爭取中央提高補助款。</w:t>
      </w:r>
    </w:p>
    <w:p w:rsidR="00577FB1" w:rsidRPr="006B4C4E" w:rsidRDefault="00577FB1" w:rsidP="005325D1">
      <w:pPr>
        <w:kinsoku w:val="0"/>
        <w:adjustRightInd w:val="0"/>
        <w:spacing w:line="460" w:lineRule="exact"/>
        <w:ind w:left="1305" w:hanging="851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二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鼓勵</w:t>
      </w:r>
      <w:r>
        <w:rPr>
          <w:rFonts w:ascii="標楷體" w:eastAsia="標楷體" w:hAnsi="Times New Roman" w:hint="eastAsia"/>
          <w:sz w:val="36"/>
          <w:szCs w:val="36"/>
        </w:rPr>
        <w:t>各</w:t>
      </w:r>
      <w:r w:rsidRPr="006B4C4E">
        <w:rPr>
          <w:rFonts w:ascii="標楷體" w:eastAsia="標楷體" w:hAnsi="Times New Roman" w:hint="eastAsia"/>
          <w:sz w:val="36"/>
          <w:szCs w:val="36"/>
        </w:rPr>
        <w:t>機關辦理開源節流</w:t>
      </w:r>
      <w:r>
        <w:rPr>
          <w:rFonts w:ascii="標楷體" w:eastAsia="標楷體" w:hAnsi="Times New Roman" w:hint="eastAsia"/>
          <w:sz w:val="36"/>
          <w:szCs w:val="36"/>
        </w:rPr>
        <w:t>，以</w:t>
      </w:r>
      <w:r w:rsidRPr="006B4C4E">
        <w:rPr>
          <w:rFonts w:ascii="標楷體" w:eastAsia="標楷體" w:hAnsi="Times New Roman" w:hint="eastAsia"/>
          <w:sz w:val="36"/>
          <w:szCs w:val="36"/>
        </w:rPr>
        <w:t>增裕市庫收入。</w:t>
      </w:r>
    </w:p>
    <w:p w:rsidR="00577FB1" w:rsidRPr="003911F1" w:rsidRDefault="00577FB1" w:rsidP="003911F1">
      <w:pPr>
        <w:kinsoku w:val="0"/>
        <w:adjustRightInd w:val="0"/>
        <w:spacing w:line="460" w:lineRule="exact"/>
        <w:ind w:left="1305" w:hanging="851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>
        <w:rPr>
          <w:rFonts w:ascii="標楷體" w:eastAsia="標楷體" w:hAnsi="Times New Roman" w:hint="eastAsia"/>
          <w:sz w:val="36"/>
          <w:szCs w:val="36"/>
        </w:rPr>
        <w:t>三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強化各機關成本效益觀念，減少不經濟支出。</w:t>
      </w:r>
    </w:p>
    <w:p w:rsidR="00577FB1" w:rsidRDefault="00577FB1" w:rsidP="001D53F2">
      <w:pPr>
        <w:kinsoku w:val="0"/>
        <w:adjustRightInd w:val="0"/>
        <w:spacing w:line="460" w:lineRule="exact"/>
        <w:ind w:left="1247" w:hanging="1247"/>
        <w:jc w:val="both"/>
        <w:textAlignment w:val="baseline"/>
        <w:outlineLvl w:val="0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三</w:t>
      </w:r>
      <w:r w:rsidRPr="006B4C4E"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、實施要項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：</w:t>
      </w:r>
    </w:p>
    <w:p w:rsidR="00577FB1" w:rsidRPr="006B4C4E" w:rsidRDefault="00577FB1" w:rsidP="00771620">
      <w:pPr>
        <w:kinsoku w:val="0"/>
        <w:adjustRightInd w:val="0"/>
        <w:spacing w:line="460" w:lineRule="exact"/>
        <w:ind w:left="426" w:hanging="426"/>
        <w:jc w:val="both"/>
        <w:textAlignment w:val="baseline"/>
        <w:outlineLvl w:val="0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  <w:t xml:space="preserve">  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分為開源及節流二大項，由推辦機關負責推動各實施要項，並由相關機關執行各項業務，如臺中市政府開源節流實施要項。</w:t>
      </w:r>
    </w:p>
    <w:p w:rsidR="00577FB1" w:rsidRPr="006B4C4E" w:rsidRDefault="00577FB1" w:rsidP="001D53F2">
      <w:pPr>
        <w:kinsoku w:val="0"/>
        <w:adjustRightInd w:val="0"/>
        <w:spacing w:line="460" w:lineRule="exact"/>
        <w:ind w:left="1247" w:hanging="1247"/>
        <w:jc w:val="both"/>
        <w:textAlignment w:val="baseline"/>
        <w:outlineLvl w:val="0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四</w:t>
      </w:r>
      <w:r w:rsidRPr="006B4C4E"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、執行措施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：</w:t>
      </w:r>
    </w:p>
    <w:p w:rsidR="00577FB1" w:rsidRPr="006B4C4E" w:rsidRDefault="00577FB1" w:rsidP="0016411D">
      <w:pPr>
        <w:kinsoku w:val="0"/>
        <w:adjustRightInd w:val="0"/>
        <w:spacing w:line="460" w:lineRule="exact"/>
        <w:ind w:left="1276" w:hanging="822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一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推辦機關應依據本方案會同業務執行機關參考</w:t>
      </w:r>
      <w:r>
        <w:rPr>
          <w:rFonts w:ascii="標楷體" w:eastAsia="標楷體" w:hAnsi="Times New Roman"/>
          <w:sz w:val="36"/>
          <w:szCs w:val="36"/>
        </w:rPr>
        <w:t xml:space="preserve"> </w:t>
      </w:r>
      <w:r w:rsidRPr="006B4C4E">
        <w:rPr>
          <w:rFonts w:ascii="標楷體" w:eastAsia="標楷體" w:hAnsi="Times New Roman" w:hint="eastAsia"/>
          <w:sz w:val="36"/>
          <w:szCs w:val="36"/>
        </w:rPr>
        <w:t>前一年度辦理情形及執行績效擬訂年度作業計畫，依後附格式填列後，於年度開始前一個月</w:t>
      </w:r>
      <w:r>
        <w:rPr>
          <w:rFonts w:ascii="標楷體" w:eastAsia="標楷體" w:hAnsi="Times New Roman" w:hint="eastAsia"/>
          <w:sz w:val="36"/>
          <w:szCs w:val="36"/>
        </w:rPr>
        <w:t>經簽報機關首長核定後，</w:t>
      </w:r>
      <w:r w:rsidRPr="006B4C4E">
        <w:rPr>
          <w:rFonts w:ascii="標楷體" w:eastAsia="標楷體" w:hAnsi="Times New Roman" w:hint="eastAsia"/>
          <w:sz w:val="36"/>
          <w:szCs w:val="36"/>
        </w:rPr>
        <w:t>據以推動執行</w:t>
      </w:r>
      <w:r w:rsidRPr="00FF0EB5">
        <w:rPr>
          <w:rFonts w:ascii="標楷體" w:eastAsia="標楷體" w:hAnsi="Times New Roman" w:hint="eastAsia"/>
          <w:sz w:val="36"/>
          <w:szCs w:val="36"/>
        </w:rPr>
        <w:t>，並副知本府</w:t>
      </w:r>
      <w:r>
        <w:rPr>
          <w:rFonts w:ascii="標楷體" w:eastAsia="標楷體" w:hAnsi="Times New Roman" w:hint="eastAsia"/>
          <w:sz w:val="36"/>
          <w:szCs w:val="36"/>
        </w:rPr>
        <w:t>主計處及</w:t>
      </w:r>
      <w:r w:rsidRPr="00FF0EB5">
        <w:rPr>
          <w:rFonts w:ascii="標楷體" w:eastAsia="標楷體" w:hAnsi="Times New Roman" w:hint="eastAsia"/>
          <w:sz w:val="36"/>
          <w:szCs w:val="36"/>
        </w:rPr>
        <w:t>財政局</w:t>
      </w:r>
      <w:r w:rsidRPr="006B4C4E">
        <w:rPr>
          <w:rFonts w:ascii="標楷體" w:eastAsia="標楷體" w:hAnsi="Times New Roman" w:hint="eastAsia"/>
          <w:sz w:val="36"/>
          <w:szCs w:val="36"/>
        </w:rPr>
        <w:t>。</w:t>
      </w:r>
    </w:p>
    <w:p w:rsidR="00577FB1" w:rsidRPr="006B4C4E" w:rsidRDefault="00577FB1" w:rsidP="0016411D">
      <w:pPr>
        <w:kinsoku w:val="0"/>
        <w:adjustRightInd w:val="0"/>
        <w:spacing w:line="460" w:lineRule="exact"/>
        <w:ind w:left="1276" w:hanging="822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二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前</w:t>
      </w:r>
      <w:r>
        <w:rPr>
          <w:rFonts w:ascii="標楷體" w:eastAsia="標楷體" w:hAnsi="Times New Roman" w:hint="eastAsia"/>
          <w:sz w:val="36"/>
          <w:szCs w:val="36"/>
        </w:rPr>
        <w:t>款</w:t>
      </w:r>
      <w:r w:rsidRPr="006B4C4E">
        <w:rPr>
          <w:rFonts w:ascii="標楷體" w:eastAsia="標楷體" w:hAnsi="Times New Roman" w:hint="eastAsia"/>
          <w:sz w:val="36"/>
          <w:szCs w:val="36"/>
        </w:rPr>
        <w:t>作業計畫應包括現況檢討、實施策略、實施要項工作項目；實施要項工作項目應包括工作項目、具體實施步驟、完成期限、執行機關</w:t>
      </w:r>
      <w:r>
        <w:rPr>
          <w:rFonts w:ascii="標楷體" w:eastAsia="標楷體" w:hAnsi="Times New Roman" w:hint="eastAsia"/>
          <w:sz w:val="36"/>
          <w:szCs w:val="36"/>
        </w:rPr>
        <w:t>、預期效益等（詳附件格式）。預期效益應儘量以具體量化之數據呈現，如增加收入或減少支出之金額等</w:t>
      </w:r>
      <w:r w:rsidRPr="006B4C4E">
        <w:rPr>
          <w:rFonts w:ascii="標楷體" w:eastAsia="標楷體" w:hAnsi="Times New Roman" w:hint="eastAsia"/>
          <w:sz w:val="36"/>
          <w:szCs w:val="36"/>
        </w:rPr>
        <w:t>，以為年度執行績效之衡量指標。</w:t>
      </w:r>
    </w:p>
    <w:p w:rsidR="00577FB1" w:rsidRPr="006B4C4E" w:rsidRDefault="00577FB1" w:rsidP="0016411D">
      <w:pPr>
        <w:kinsoku w:val="0"/>
        <w:adjustRightInd w:val="0"/>
        <w:spacing w:line="460" w:lineRule="exact"/>
        <w:ind w:left="1276" w:hanging="822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三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有關執行本方案預估可增加之收入或減少之支出，各業務執行機關應於編列預算時估列反映。</w:t>
      </w:r>
    </w:p>
    <w:p w:rsidR="00577FB1" w:rsidRPr="006B4C4E" w:rsidRDefault="00577FB1" w:rsidP="0016411D">
      <w:pPr>
        <w:kinsoku w:val="0"/>
        <w:adjustRightInd w:val="0"/>
        <w:spacing w:line="460" w:lineRule="exact"/>
        <w:ind w:leftChars="191" w:left="1272" w:hangingChars="226" w:hanging="814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四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各推辦機關得視作業需要自行核定修正作業計畫，以利執行。核定後之修正計畫應函知各</w:t>
      </w:r>
      <w:r>
        <w:rPr>
          <w:rFonts w:ascii="標楷體" w:eastAsia="標楷體" w:hAnsi="Times New Roman" w:hint="eastAsia"/>
          <w:sz w:val="36"/>
          <w:szCs w:val="36"/>
        </w:rPr>
        <w:t>執行機關及本府主計處、</w:t>
      </w:r>
      <w:r w:rsidRPr="006B4C4E">
        <w:rPr>
          <w:rFonts w:ascii="標楷體" w:eastAsia="標楷體" w:hAnsi="Times New Roman" w:hint="eastAsia"/>
          <w:sz w:val="36"/>
          <w:szCs w:val="36"/>
        </w:rPr>
        <w:t>財政局。</w:t>
      </w:r>
    </w:p>
    <w:p w:rsidR="00577FB1" w:rsidRPr="006B4C4E" w:rsidRDefault="00577FB1" w:rsidP="006C5D15">
      <w:pPr>
        <w:kinsoku w:val="0"/>
        <w:adjustRightInd w:val="0"/>
        <w:spacing w:line="460" w:lineRule="exact"/>
        <w:ind w:left="1261" w:hangingChars="314" w:hanging="1261"/>
        <w:jc w:val="both"/>
        <w:textAlignment w:val="baseline"/>
        <w:rPr>
          <w:rFonts w:ascii="標楷體" w:eastAsia="標楷體" w:hAnsi="Times New Roman"/>
          <w:spacing w:val="12"/>
          <w:w w:val="105"/>
          <w:kern w:val="16"/>
          <w:sz w:val="36"/>
          <w:szCs w:val="36"/>
        </w:rPr>
      </w:pP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五</w:t>
      </w:r>
      <w:r w:rsidRPr="006B4C4E"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、管考獎懲</w:t>
      </w:r>
      <w:r>
        <w:rPr>
          <w:rFonts w:ascii="標楷體" w:eastAsia="標楷體" w:hAnsi="Times New Roman" w:hint="eastAsia"/>
          <w:spacing w:val="12"/>
          <w:w w:val="105"/>
          <w:kern w:val="16"/>
          <w:sz w:val="36"/>
          <w:szCs w:val="36"/>
        </w:rPr>
        <w:t>：</w:t>
      </w:r>
      <w:bookmarkStart w:id="0" w:name="_GoBack"/>
      <w:bookmarkEnd w:id="0"/>
    </w:p>
    <w:p w:rsidR="00577FB1" w:rsidRPr="006B4C4E" w:rsidRDefault="00577FB1" w:rsidP="0016411D">
      <w:pPr>
        <w:tabs>
          <w:tab w:val="left" w:pos="567"/>
          <w:tab w:val="left" w:pos="851"/>
          <w:tab w:val="left" w:pos="993"/>
        </w:tabs>
        <w:kinsoku w:val="0"/>
        <w:adjustRightInd w:val="0"/>
        <w:spacing w:line="460" w:lineRule="exact"/>
        <w:ind w:leftChars="199" w:left="1274" w:hangingChars="221" w:hanging="796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一</w:t>
      </w:r>
      <w:r>
        <w:rPr>
          <w:rFonts w:ascii="標楷體" w:eastAsia="標楷體" w:hAnsi="Times New Roman"/>
          <w:sz w:val="36"/>
          <w:szCs w:val="36"/>
        </w:rPr>
        <w:t>)</w:t>
      </w:r>
      <w:r>
        <w:rPr>
          <w:rFonts w:ascii="標楷體" w:eastAsia="標楷體" w:hAnsi="Times New Roman" w:hint="eastAsia"/>
          <w:sz w:val="36"/>
          <w:szCs w:val="36"/>
        </w:rPr>
        <w:t>推辦機關對於業務執行機關之執行進度應</w:t>
      </w:r>
      <w:r w:rsidRPr="006B4C4E">
        <w:rPr>
          <w:rFonts w:ascii="標楷體" w:eastAsia="標楷體" w:hAnsi="Times New Roman" w:hint="eastAsia"/>
          <w:sz w:val="36"/>
          <w:szCs w:val="36"/>
        </w:rPr>
        <w:t>追蹤列管，於年度結束後</w:t>
      </w:r>
      <w:r>
        <w:rPr>
          <w:rFonts w:ascii="標楷體" w:eastAsia="標楷體" w:hAnsi="Times New Roman" w:hint="eastAsia"/>
          <w:sz w:val="36"/>
          <w:szCs w:val="36"/>
        </w:rPr>
        <w:t>六個月內辦理上年度執行績效評估檢討，</w:t>
      </w:r>
      <w:r w:rsidRPr="006B4C4E">
        <w:rPr>
          <w:rFonts w:ascii="標楷體" w:eastAsia="標楷體" w:hAnsi="Times New Roman" w:hint="eastAsia"/>
          <w:sz w:val="36"/>
          <w:szCs w:val="36"/>
        </w:rPr>
        <w:t>檢討結果應送本府財政局</w:t>
      </w:r>
      <w:r>
        <w:rPr>
          <w:rFonts w:ascii="標楷體" w:eastAsia="標楷體" w:hAnsi="Times New Roman"/>
          <w:sz w:val="36"/>
          <w:szCs w:val="36"/>
        </w:rPr>
        <w:t>(</w:t>
      </w:r>
      <w:r>
        <w:rPr>
          <w:rFonts w:ascii="標楷體" w:eastAsia="標楷體" w:hAnsi="Times New Roman" w:hint="eastAsia"/>
          <w:sz w:val="36"/>
          <w:szCs w:val="36"/>
        </w:rPr>
        <w:t>開源部分</w:t>
      </w:r>
      <w:r>
        <w:rPr>
          <w:rFonts w:ascii="標楷體" w:eastAsia="標楷體" w:hAnsi="Times New Roman"/>
          <w:sz w:val="36"/>
          <w:szCs w:val="36"/>
        </w:rPr>
        <w:t>)</w:t>
      </w:r>
      <w:r>
        <w:rPr>
          <w:rFonts w:ascii="標楷體" w:eastAsia="標楷體" w:hAnsi="Times New Roman" w:hint="eastAsia"/>
          <w:sz w:val="36"/>
          <w:szCs w:val="36"/>
        </w:rPr>
        <w:t>、主計處</w:t>
      </w:r>
      <w:r>
        <w:rPr>
          <w:rFonts w:ascii="標楷體" w:eastAsia="標楷體" w:hAnsi="Times New Roman"/>
          <w:sz w:val="36"/>
          <w:szCs w:val="36"/>
        </w:rPr>
        <w:t>(</w:t>
      </w:r>
      <w:r>
        <w:rPr>
          <w:rFonts w:ascii="標楷體" w:eastAsia="標楷體" w:hAnsi="Times New Roman" w:hint="eastAsia"/>
          <w:sz w:val="36"/>
          <w:szCs w:val="36"/>
        </w:rPr>
        <w:t>節流部分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，並以</w:t>
      </w:r>
      <w:r>
        <w:rPr>
          <w:rFonts w:ascii="標楷體" w:eastAsia="標楷體" w:hAnsi="Times New Roman" w:hint="eastAsia"/>
          <w:sz w:val="36"/>
          <w:szCs w:val="36"/>
        </w:rPr>
        <w:t>登載機關網站、發佈新聞稿或其他適當方式</w:t>
      </w:r>
      <w:r w:rsidRPr="006B4C4E">
        <w:rPr>
          <w:rFonts w:ascii="標楷體" w:eastAsia="標楷體" w:hAnsi="Times New Roman" w:hint="eastAsia"/>
          <w:sz w:val="36"/>
          <w:szCs w:val="36"/>
        </w:rPr>
        <w:t>揭露。</w:t>
      </w:r>
    </w:p>
    <w:p w:rsidR="00577FB1" w:rsidRPr="003B5770" w:rsidRDefault="00577FB1" w:rsidP="0077782F">
      <w:pPr>
        <w:kinsoku w:val="0"/>
        <w:adjustRightInd w:val="0"/>
        <w:spacing w:line="460" w:lineRule="exact"/>
        <w:ind w:leftChars="199" w:left="1274" w:hangingChars="221" w:hanging="796"/>
        <w:jc w:val="both"/>
        <w:textAlignment w:val="baseline"/>
        <w:rPr>
          <w:rFonts w:ascii="標楷體" w:eastAsia="標楷體" w:hAnsi="Times New Roman"/>
          <w:sz w:val="36"/>
          <w:szCs w:val="36"/>
        </w:rPr>
      </w:pPr>
      <w:r>
        <w:rPr>
          <w:rFonts w:ascii="標楷體" w:eastAsia="標楷體" w:hAnsi="Times New Roman"/>
          <w:sz w:val="36"/>
          <w:szCs w:val="36"/>
        </w:rPr>
        <w:t>(</w:t>
      </w:r>
      <w:r w:rsidRPr="006B4C4E">
        <w:rPr>
          <w:rFonts w:ascii="標楷體" w:eastAsia="標楷體" w:hAnsi="Times New Roman" w:hint="eastAsia"/>
          <w:sz w:val="36"/>
          <w:szCs w:val="36"/>
        </w:rPr>
        <w:t>二</w:t>
      </w:r>
      <w:r>
        <w:rPr>
          <w:rFonts w:ascii="標楷體" w:eastAsia="標楷體" w:hAnsi="Times New Roman"/>
          <w:sz w:val="36"/>
          <w:szCs w:val="36"/>
        </w:rPr>
        <w:t>)</w:t>
      </w:r>
      <w:r w:rsidRPr="006B4C4E">
        <w:rPr>
          <w:rFonts w:ascii="標楷體" w:eastAsia="標楷體" w:hAnsi="Times New Roman" w:hint="eastAsia"/>
          <w:sz w:val="36"/>
          <w:szCs w:val="36"/>
        </w:rPr>
        <w:t>各機關應將本方案列入年度施政項目，對辦理本方案規劃、推動、執行事項，有顯著績效、表現優良或執行不力、績效不彰者，由各機關適時予以獎勵或懲處，並以適當方式揭露獎勵或懲處資</w:t>
      </w:r>
      <w:r>
        <w:rPr>
          <w:rFonts w:ascii="標楷體" w:eastAsia="標楷體" w:hAnsi="Times New Roman" w:hint="eastAsia"/>
          <w:sz w:val="36"/>
          <w:szCs w:val="36"/>
        </w:rPr>
        <w:t>訊。</w:t>
      </w:r>
    </w:p>
    <w:p w:rsidR="00577FB1" w:rsidRPr="0038245F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743C86">
      <w:pPr>
        <w:kinsoku w:val="0"/>
        <w:adjustRightInd w:val="0"/>
        <w:spacing w:line="360" w:lineRule="auto"/>
        <w:ind w:leftChars="200" w:left="1160" w:hangingChars="200" w:hanging="680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B807C1">
      <w:pPr>
        <w:kinsoku w:val="0"/>
        <w:adjustRightInd w:val="0"/>
        <w:spacing w:line="360" w:lineRule="auto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B807C1">
      <w:pPr>
        <w:kinsoku w:val="0"/>
        <w:adjustRightInd w:val="0"/>
        <w:spacing w:line="360" w:lineRule="auto"/>
        <w:jc w:val="both"/>
        <w:textAlignment w:val="baseline"/>
        <w:rPr>
          <w:rFonts w:ascii="標楷體" w:eastAsia="標楷體" w:hAnsi="Times New Roman"/>
          <w:sz w:val="34"/>
          <w:szCs w:val="24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p w:rsidR="00577FB1" w:rsidRDefault="00577FB1" w:rsidP="00674EAC">
      <w:pPr>
        <w:widowControl/>
        <w:shd w:val="clear" w:color="auto" w:fill="FFFFFF"/>
        <w:rPr>
          <w:rFonts w:ascii="Arial" w:hAnsi="Arial" w:cs="Arial"/>
          <w:spacing w:val="5"/>
          <w:kern w:val="0"/>
          <w:sz w:val="18"/>
          <w:szCs w:val="18"/>
        </w:rPr>
      </w:pPr>
    </w:p>
    <w:sectPr w:rsidR="00577FB1" w:rsidSect="002856B9">
      <w:footerReference w:type="even" r:id="rId7"/>
      <w:footerReference w:type="default" r:id="rId8"/>
      <w:footerReference w:type="firs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FB1" w:rsidRDefault="00577FB1">
      <w:r>
        <w:separator/>
      </w:r>
    </w:p>
  </w:endnote>
  <w:endnote w:type="continuationSeparator" w:id="0">
    <w:p w:rsidR="00577FB1" w:rsidRDefault="00577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FB1" w:rsidRDefault="00577FB1" w:rsidP="001D53F2">
    <w:pPr>
      <w:pStyle w:val="Footer"/>
      <w:framePr w:wrap="around" w:vAnchor="text" w:hAnchor="margin" w:xAlign="center" w:y="1"/>
      <w:textDirection w:val="btL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77FB1" w:rsidRDefault="00577FB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FB1" w:rsidRDefault="00577FB1" w:rsidP="006F3500">
    <w:pPr>
      <w:pStyle w:val="Footer"/>
      <w:framePr w:w="1696" w:wrap="around" w:vAnchor="text" w:hAnchor="margin" w:xAlign="center" w:y="-2"/>
      <w:rPr>
        <w:rStyle w:val="PageNumber"/>
      </w:rPr>
    </w:pPr>
  </w:p>
  <w:p w:rsidR="00577FB1" w:rsidRDefault="00577FB1" w:rsidP="006F3500">
    <w:pPr>
      <w:pStyle w:val="Footer"/>
      <w:tabs>
        <w:tab w:val="clear" w:pos="4153"/>
        <w:tab w:val="clear" w:pos="8306"/>
        <w:tab w:val="left" w:pos="5760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FB1" w:rsidRDefault="00577FB1" w:rsidP="001D53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577FB1" w:rsidRPr="00D2232A" w:rsidRDefault="00577FB1" w:rsidP="001D53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FB1" w:rsidRDefault="00577FB1">
      <w:r>
        <w:separator/>
      </w:r>
    </w:p>
  </w:footnote>
  <w:footnote w:type="continuationSeparator" w:id="0">
    <w:p w:rsidR="00577FB1" w:rsidRDefault="00577F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3C6F"/>
    <w:multiLevelType w:val="hybridMultilevel"/>
    <w:tmpl w:val="873207C0"/>
    <w:lvl w:ilvl="0" w:tplc="1C66BF7C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54B43D40"/>
    <w:multiLevelType w:val="hybridMultilevel"/>
    <w:tmpl w:val="95603056"/>
    <w:lvl w:ilvl="0" w:tplc="13BA25C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AE6"/>
    <w:rsid w:val="0005604F"/>
    <w:rsid w:val="0007721B"/>
    <w:rsid w:val="00081E3C"/>
    <w:rsid w:val="00146375"/>
    <w:rsid w:val="0016411D"/>
    <w:rsid w:val="00176ECA"/>
    <w:rsid w:val="001A496F"/>
    <w:rsid w:val="001B3629"/>
    <w:rsid w:val="001B49FF"/>
    <w:rsid w:val="001C34DC"/>
    <w:rsid w:val="001D53F2"/>
    <w:rsid w:val="00200CE6"/>
    <w:rsid w:val="00202183"/>
    <w:rsid w:val="00217703"/>
    <w:rsid w:val="00276C6F"/>
    <w:rsid w:val="002856B9"/>
    <w:rsid w:val="002A0973"/>
    <w:rsid w:val="0033112B"/>
    <w:rsid w:val="00335AE6"/>
    <w:rsid w:val="0035307E"/>
    <w:rsid w:val="0038245F"/>
    <w:rsid w:val="003911F1"/>
    <w:rsid w:val="003B0153"/>
    <w:rsid w:val="003B2AC4"/>
    <w:rsid w:val="003B5770"/>
    <w:rsid w:val="003C5C45"/>
    <w:rsid w:val="003D5BFD"/>
    <w:rsid w:val="003E0FAC"/>
    <w:rsid w:val="00411892"/>
    <w:rsid w:val="0041271B"/>
    <w:rsid w:val="004528C6"/>
    <w:rsid w:val="00484466"/>
    <w:rsid w:val="004A2BCC"/>
    <w:rsid w:val="00501E19"/>
    <w:rsid w:val="005325D1"/>
    <w:rsid w:val="00553912"/>
    <w:rsid w:val="0056021F"/>
    <w:rsid w:val="00577FB1"/>
    <w:rsid w:val="00585490"/>
    <w:rsid w:val="005951F1"/>
    <w:rsid w:val="005B1DD5"/>
    <w:rsid w:val="00627EBE"/>
    <w:rsid w:val="00674EAC"/>
    <w:rsid w:val="006A3796"/>
    <w:rsid w:val="006B4C4E"/>
    <w:rsid w:val="006C50A2"/>
    <w:rsid w:val="006C5D15"/>
    <w:rsid w:val="006D5AAA"/>
    <w:rsid w:val="006F3500"/>
    <w:rsid w:val="006F4059"/>
    <w:rsid w:val="0073737D"/>
    <w:rsid w:val="007417A5"/>
    <w:rsid w:val="007423BF"/>
    <w:rsid w:val="00743C86"/>
    <w:rsid w:val="00771620"/>
    <w:rsid w:val="0077782F"/>
    <w:rsid w:val="00780E7B"/>
    <w:rsid w:val="007949D9"/>
    <w:rsid w:val="007A0BC0"/>
    <w:rsid w:val="007B22F1"/>
    <w:rsid w:val="007D295D"/>
    <w:rsid w:val="007D6743"/>
    <w:rsid w:val="007E5842"/>
    <w:rsid w:val="0080025F"/>
    <w:rsid w:val="008260CC"/>
    <w:rsid w:val="008B5C13"/>
    <w:rsid w:val="008F00C8"/>
    <w:rsid w:val="00937CF5"/>
    <w:rsid w:val="0094067A"/>
    <w:rsid w:val="00944C20"/>
    <w:rsid w:val="009540B4"/>
    <w:rsid w:val="009676BB"/>
    <w:rsid w:val="0099791C"/>
    <w:rsid w:val="00A139DC"/>
    <w:rsid w:val="00A37EFA"/>
    <w:rsid w:val="00A42944"/>
    <w:rsid w:val="00A8754F"/>
    <w:rsid w:val="00A92095"/>
    <w:rsid w:val="00AA4990"/>
    <w:rsid w:val="00AC7A8A"/>
    <w:rsid w:val="00AD747B"/>
    <w:rsid w:val="00AF107A"/>
    <w:rsid w:val="00B00B73"/>
    <w:rsid w:val="00B00E6E"/>
    <w:rsid w:val="00B12FF5"/>
    <w:rsid w:val="00B26AAD"/>
    <w:rsid w:val="00B305AC"/>
    <w:rsid w:val="00B376C7"/>
    <w:rsid w:val="00B44901"/>
    <w:rsid w:val="00B65DDB"/>
    <w:rsid w:val="00B807C1"/>
    <w:rsid w:val="00B87B0C"/>
    <w:rsid w:val="00B93BA2"/>
    <w:rsid w:val="00BA588C"/>
    <w:rsid w:val="00BC204A"/>
    <w:rsid w:val="00BE1388"/>
    <w:rsid w:val="00C101A0"/>
    <w:rsid w:val="00C343B1"/>
    <w:rsid w:val="00C836E0"/>
    <w:rsid w:val="00C84175"/>
    <w:rsid w:val="00C92293"/>
    <w:rsid w:val="00C935E7"/>
    <w:rsid w:val="00CB5396"/>
    <w:rsid w:val="00CD29F8"/>
    <w:rsid w:val="00CE21EE"/>
    <w:rsid w:val="00D022DD"/>
    <w:rsid w:val="00D2232A"/>
    <w:rsid w:val="00D36533"/>
    <w:rsid w:val="00D43794"/>
    <w:rsid w:val="00D716D8"/>
    <w:rsid w:val="00D8086F"/>
    <w:rsid w:val="00E05F9D"/>
    <w:rsid w:val="00E44414"/>
    <w:rsid w:val="00E456C7"/>
    <w:rsid w:val="00E56881"/>
    <w:rsid w:val="00E716B0"/>
    <w:rsid w:val="00E931E2"/>
    <w:rsid w:val="00E96339"/>
    <w:rsid w:val="00F107D8"/>
    <w:rsid w:val="00F26278"/>
    <w:rsid w:val="00F327C5"/>
    <w:rsid w:val="00F635F7"/>
    <w:rsid w:val="00F85259"/>
    <w:rsid w:val="00F90723"/>
    <w:rsid w:val="00FB431D"/>
    <w:rsid w:val="00FD0F69"/>
    <w:rsid w:val="00FD18B4"/>
    <w:rsid w:val="00FF0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6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5307E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484466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4466"/>
    <w:rPr>
      <w:rFonts w:ascii="Cambria" w:eastAsia="新細明體" w:hAnsi="Cambri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743C8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43C86"/>
    <w:rPr>
      <w:rFonts w:ascii="Times New Roman" w:eastAsia="新細明體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43C8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F3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F350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328381">
      <w:marLeft w:val="0"/>
      <w:marRight w:val="0"/>
      <w:marTop w:val="0"/>
      <w:marBottom w:val="0"/>
      <w:divBdr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</w:divBdr>
      <w:divsChild>
        <w:div w:id="1113328388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11133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2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28324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2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32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3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60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2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32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6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2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32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6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32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3328374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32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2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328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332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7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32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332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78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8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32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32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3328390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1332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32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11332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332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116</Words>
  <Characters>662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臺中市政府開源節流方案</dc:title>
  <dc:subject/>
  <dc:creator>古芝瑋</dc:creator>
  <cp:keywords/>
  <dc:description/>
  <cp:lastModifiedBy>Administrator</cp:lastModifiedBy>
  <cp:revision>2</cp:revision>
  <cp:lastPrinted>2011-11-02T06:12:00Z</cp:lastPrinted>
  <dcterms:created xsi:type="dcterms:W3CDTF">2012-07-25T01:50:00Z</dcterms:created>
  <dcterms:modified xsi:type="dcterms:W3CDTF">2012-07-25T01:50:00Z</dcterms:modified>
</cp:coreProperties>
</file>