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5442" w:rsidRDefault="00B55DEB">
      <w:pPr>
        <w:tabs>
          <w:tab w:val="left" w:pos="3544"/>
          <w:tab w:val="left" w:pos="3686"/>
          <w:tab w:val="left" w:pos="3828"/>
        </w:tabs>
        <w:spacing w:line="460" w:lineRule="atLeast"/>
        <w:rPr>
          <w:rFonts w:ascii="標楷體" w:eastAsia="標楷體" w:hAnsi="標楷體"/>
          <w:sz w:val="40"/>
          <w:szCs w:val="40"/>
        </w:rPr>
      </w:pPr>
      <w:bookmarkStart w:id="0" w:name="_GoBack"/>
      <w:bookmarkEnd w:id="0"/>
      <w:r>
        <w:rPr>
          <w:rFonts w:ascii="標楷體" w:eastAsia="標楷體" w:hAnsi="標楷體"/>
          <w:sz w:val="40"/>
          <w:szCs w:val="40"/>
        </w:rPr>
        <w:t>臺中市建築物施工管制辦法部分條文修正條文</w:t>
      </w:r>
    </w:p>
    <w:p w:rsidR="00975442" w:rsidRDefault="00B55DEB">
      <w:pPr>
        <w:pStyle w:val="ac"/>
        <w:snapToGrid w:val="0"/>
        <w:spacing w:line="460" w:lineRule="exact"/>
        <w:ind w:left="840" w:hanging="840"/>
        <w:rPr>
          <w:color w:val="auto"/>
          <w:sz w:val="28"/>
          <w:szCs w:val="28"/>
        </w:rPr>
      </w:pPr>
      <w:r>
        <w:rPr>
          <w:color w:val="auto"/>
          <w:sz w:val="28"/>
          <w:szCs w:val="28"/>
        </w:rPr>
        <w:t>第三條　　起造人依建築法第五十四條規定申報開工應檢附下列書件：</w:t>
      </w:r>
    </w:p>
    <w:p w:rsidR="00975442" w:rsidRDefault="00B55DEB">
      <w:pPr>
        <w:overflowPunct w:val="0"/>
        <w:snapToGrid w:val="0"/>
        <w:spacing w:line="460" w:lineRule="exact"/>
        <w:ind w:left="1952" w:hanging="560"/>
        <w:jc w:val="both"/>
        <w:rPr>
          <w:rFonts w:ascii="標楷體" w:eastAsia="標楷體" w:hAnsi="標楷體"/>
          <w:bCs/>
          <w:sz w:val="28"/>
          <w:szCs w:val="28"/>
        </w:rPr>
      </w:pPr>
      <w:r>
        <w:rPr>
          <w:rFonts w:ascii="標楷體" w:eastAsia="標楷體" w:hAnsi="標楷體"/>
          <w:bCs/>
          <w:sz w:val="28"/>
          <w:szCs w:val="28"/>
        </w:rPr>
        <w:t>一、建築工程開工申報書一份。</w:t>
      </w:r>
    </w:p>
    <w:p w:rsidR="00975442" w:rsidRDefault="00B55DEB">
      <w:pPr>
        <w:overflowPunct w:val="0"/>
        <w:snapToGrid w:val="0"/>
        <w:spacing w:line="460" w:lineRule="exact"/>
        <w:ind w:left="1952" w:hanging="560"/>
        <w:jc w:val="both"/>
        <w:rPr>
          <w:rFonts w:ascii="標楷體" w:eastAsia="標楷體" w:hAnsi="標楷體"/>
          <w:bCs/>
          <w:sz w:val="28"/>
          <w:szCs w:val="28"/>
        </w:rPr>
      </w:pPr>
      <w:r>
        <w:rPr>
          <w:rFonts w:ascii="標楷體" w:eastAsia="標楷體" w:hAnsi="標楷體"/>
          <w:bCs/>
          <w:sz w:val="28"/>
          <w:szCs w:val="28"/>
        </w:rPr>
        <w:t>二、建造執照或雜項執照正本。</w:t>
      </w:r>
    </w:p>
    <w:p w:rsidR="00975442" w:rsidRDefault="00B55DEB">
      <w:pPr>
        <w:overflowPunct w:val="0"/>
        <w:snapToGrid w:val="0"/>
        <w:spacing w:line="460" w:lineRule="exact"/>
        <w:ind w:left="1952" w:hanging="560"/>
        <w:jc w:val="both"/>
        <w:rPr>
          <w:rFonts w:ascii="標楷體" w:eastAsia="標楷體" w:hAnsi="標楷體"/>
          <w:bCs/>
          <w:sz w:val="28"/>
          <w:szCs w:val="28"/>
        </w:rPr>
      </w:pPr>
      <w:r>
        <w:rPr>
          <w:rFonts w:ascii="標楷體" w:eastAsia="標楷體" w:hAnsi="標楷體"/>
          <w:bCs/>
          <w:sz w:val="28"/>
          <w:szCs w:val="28"/>
        </w:rPr>
        <w:t>三、營造業承攬建築工程開工查報表一份。</w:t>
      </w:r>
    </w:p>
    <w:p w:rsidR="00975442" w:rsidRDefault="00B55DEB">
      <w:pPr>
        <w:overflowPunct w:val="0"/>
        <w:snapToGrid w:val="0"/>
        <w:spacing w:line="460" w:lineRule="exact"/>
        <w:ind w:left="1952" w:hanging="560"/>
        <w:jc w:val="both"/>
        <w:rPr>
          <w:rFonts w:ascii="標楷體" w:eastAsia="標楷體" w:hAnsi="標楷體"/>
          <w:bCs/>
          <w:sz w:val="28"/>
          <w:szCs w:val="28"/>
        </w:rPr>
      </w:pPr>
      <w:r>
        <w:rPr>
          <w:rFonts w:ascii="標楷體" w:eastAsia="標楷體" w:hAnsi="標楷體"/>
          <w:bCs/>
          <w:sz w:val="28"/>
          <w:szCs w:val="28"/>
        </w:rPr>
        <w:t>四、經承造人專任工程人員簽章之施工計畫書及圖說二份。</w:t>
      </w:r>
    </w:p>
    <w:p w:rsidR="00975442" w:rsidRDefault="00B55DEB">
      <w:pPr>
        <w:overflowPunct w:val="0"/>
        <w:snapToGrid w:val="0"/>
        <w:spacing w:line="460" w:lineRule="exact"/>
        <w:ind w:left="1952" w:hanging="560"/>
        <w:jc w:val="both"/>
        <w:rPr>
          <w:rFonts w:ascii="標楷體" w:eastAsia="標楷體" w:hAnsi="標楷體"/>
          <w:bCs/>
          <w:sz w:val="28"/>
          <w:szCs w:val="28"/>
        </w:rPr>
      </w:pPr>
      <w:r>
        <w:rPr>
          <w:rFonts w:ascii="標楷體" w:eastAsia="標楷體" w:hAnsi="標楷體"/>
          <w:bCs/>
          <w:sz w:val="28"/>
          <w:szCs w:val="28"/>
        </w:rPr>
        <w:t>五、承攬營造業最近一個月內之基本資料。</w:t>
      </w:r>
    </w:p>
    <w:p w:rsidR="00975442" w:rsidRDefault="00B55DEB">
      <w:pPr>
        <w:overflowPunct w:val="0"/>
        <w:snapToGrid w:val="0"/>
        <w:spacing w:line="460" w:lineRule="exact"/>
        <w:ind w:left="1952" w:hanging="560"/>
        <w:jc w:val="both"/>
      </w:pPr>
      <w:r>
        <w:rPr>
          <w:rFonts w:ascii="標楷體" w:eastAsia="標楷體" w:hAnsi="標楷體"/>
          <w:bCs/>
          <w:sz w:val="28"/>
          <w:szCs w:val="28"/>
        </w:rPr>
        <w:t>六、職業安全衛生管理人員之證書及勞工保險證明文件</w:t>
      </w:r>
      <w:r>
        <w:rPr>
          <w:rFonts w:ascii="標楷體" w:eastAsia="標楷體" w:hAnsi="標楷體"/>
          <w:bCs/>
          <w:color w:val="FF0000"/>
          <w:sz w:val="28"/>
          <w:szCs w:val="28"/>
        </w:rPr>
        <w:t>或僱用證明文件</w:t>
      </w:r>
      <w:r>
        <w:rPr>
          <w:rFonts w:ascii="標楷體" w:eastAsia="標楷體" w:hAnsi="標楷體"/>
          <w:bCs/>
          <w:sz w:val="28"/>
          <w:szCs w:val="28"/>
        </w:rPr>
        <w:t>。</w:t>
      </w:r>
    </w:p>
    <w:p w:rsidR="00975442" w:rsidRDefault="00B55DEB">
      <w:pPr>
        <w:overflowPunct w:val="0"/>
        <w:snapToGrid w:val="0"/>
        <w:spacing w:line="460" w:lineRule="exact"/>
        <w:ind w:left="1952" w:hanging="560"/>
        <w:jc w:val="both"/>
        <w:rPr>
          <w:rFonts w:ascii="標楷體" w:eastAsia="標楷體" w:hAnsi="標楷體"/>
          <w:bCs/>
          <w:sz w:val="28"/>
          <w:szCs w:val="28"/>
        </w:rPr>
      </w:pPr>
      <w:r>
        <w:rPr>
          <w:rFonts w:ascii="標楷體" w:eastAsia="標楷體" w:hAnsi="標楷體"/>
          <w:bCs/>
          <w:sz w:val="28"/>
          <w:szCs w:val="28"/>
        </w:rPr>
        <w:t>七、申報日前七日內之工地現場照片。</w:t>
      </w:r>
    </w:p>
    <w:p w:rsidR="00975442" w:rsidRDefault="00B55DEB">
      <w:pPr>
        <w:overflowPunct w:val="0"/>
        <w:snapToGrid w:val="0"/>
        <w:spacing w:line="460" w:lineRule="exact"/>
        <w:ind w:left="1952" w:hanging="560"/>
        <w:jc w:val="both"/>
        <w:rPr>
          <w:rFonts w:ascii="標楷體" w:eastAsia="標楷體" w:hAnsi="標楷體"/>
          <w:bCs/>
          <w:sz w:val="28"/>
          <w:szCs w:val="28"/>
        </w:rPr>
      </w:pPr>
      <w:r>
        <w:rPr>
          <w:rFonts w:ascii="標楷體" w:eastAsia="標楷體" w:hAnsi="標楷體"/>
          <w:bCs/>
          <w:sz w:val="28"/>
          <w:szCs w:val="28"/>
        </w:rPr>
        <w:t>八、其他依法令規定或都發局指定應檢附書件。</w:t>
      </w:r>
    </w:p>
    <w:p w:rsidR="00975442" w:rsidRDefault="00B55DEB">
      <w:pPr>
        <w:overflowPunct w:val="0"/>
        <w:spacing w:line="460" w:lineRule="exact"/>
        <w:ind w:left="840" w:firstLine="560"/>
        <w:jc w:val="both"/>
        <w:rPr>
          <w:rFonts w:ascii="標楷體" w:eastAsia="標楷體" w:hAnsi="標楷體"/>
          <w:bCs/>
          <w:color w:val="FF0000"/>
          <w:sz w:val="28"/>
          <w:szCs w:val="28"/>
        </w:rPr>
      </w:pPr>
      <w:r>
        <w:rPr>
          <w:rFonts w:ascii="標楷體" w:eastAsia="標楷體" w:hAnsi="標楷體"/>
          <w:bCs/>
          <w:color w:val="FF0000"/>
          <w:sz w:val="28"/>
          <w:szCs w:val="28"/>
        </w:rPr>
        <w:t>建築工程使用塔式起重機者，應將塔式起重機之施工計畫書</w:t>
      </w:r>
      <w:r>
        <w:rPr>
          <w:rFonts w:ascii="標楷體" w:eastAsia="標楷體" w:hAnsi="標楷體"/>
          <w:bCs/>
          <w:color w:val="FF0000"/>
          <w:sz w:val="28"/>
          <w:szCs w:val="28"/>
        </w:rPr>
        <w:t>(</w:t>
      </w:r>
      <w:r>
        <w:rPr>
          <w:rFonts w:ascii="標楷體" w:eastAsia="標楷體" w:hAnsi="標楷體"/>
          <w:bCs/>
          <w:color w:val="FF0000"/>
          <w:sz w:val="28"/>
          <w:szCs w:val="28"/>
        </w:rPr>
        <w:t>含作業範圍</w:t>
      </w:r>
      <w:r>
        <w:rPr>
          <w:rFonts w:ascii="標楷體" w:eastAsia="標楷體" w:hAnsi="標楷體"/>
          <w:bCs/>
          <w:color w:val="FF0000"/>
          <w:sz w:val="28"/>
          <w:szCs w:val="28"/>
        </w:rPr>
        <w:t>)</w:t>
      </w:r>
      <w:r>
        <w:rPr>
          <w:rFonts w:ascii="標楷體" w:eastAsia="標楷體" w:hAnsi="標楷體"/>
          <w:bCs/>
          <w:color w:val="FF0000"/>
          <w:sz w:val="28"/>
          <w:szCs w:val="28"/>
        </w:rPr>
        <w:t>納入前項第四款規定之施工計畫書，並應於施工前取得臺中市政府交通局</w:t>
      </w:r>
      <w:r>
        <w:rPr>
          <w:rFonts w:ascii="標楷體" w:eastAsia="標楷體" w:hAnsi="標楷體"/>
          <w:bCs/>
          <w:color w:val="FF0000"/>
          <w:sz w:val="28"/>
          <w:szCs w:val="28"/>
        </w:rPr>
        <w:t>(</w:t>
      </w:r>
      <w:r>
        <w:rPr>
          <w:rFonts w:ascii="標楷體" w:eastAsia="標楷體" w:hAnsi="標楷體"/>
          <w:bCs/>
          <w:color w:val="FF0000"/>
          <w:sz w:val="28"/>
          <w:szCs w:val="28"/>
        </w:rPr>
        <w:t>以下簡稱交通局</w:t>
      </w:r>
      <w:r>
        <w:rPr>
          <w:rFonts w:ascii="標楷體" w:eastAsia="標楷體" w:hAnsi="標楷體"/>
          <w:bCs/>
          <w:color w:val="FF0000"/>
          <w:sz w:val="28"/>
          <w:szCs w:val="28"/>
        </w:rPr>
        <w:t>)</w:t>
      </w:r>
      <w:r>
        <w:rPr>
          <w:rFonts w:ascii="標楷體" w:eastAsia="標楷體" w:hAnsi="標楷體"/>
          <w:bCs/>
          <w:color w:val="FF0000"/>
          <w:sz w:val="28"/>
          <w:szCs w:val="28"/>
        </w:rPr>
        <w:t>審查交通維持計畫核可函；未使用塔式起重機者，應檢具切結書。</w:t>
      </w:r>
    </w:p>
    <w:p w:rsidR="00975442" w:rsidRDefault="00B55DEB">
      <w:pPr>
        <w:overflowPunct w:val="0"/>
        <w:spacing w:line="460" w:lineRule="exact"/>
        <w:ind w:left="835" w:firstLine="560"/>
        <w:jc w:val="both"/>
        <w:rPr>
          <w:rFonts w:ascii="標楷體" w:eastAsia="標楷體" w:hAnsi="標楷體"/>
          <w:bCs/>
          <w:color w:val="FF0000"/>
          <w:sz w:val="28"/>
          <w:szCs w:val="28"/>
        </w:rPr>
      </w:pPr>
      <w:r>
        <w:rPr>
          <w:rFonts w:ascii="標楷體" w:eastAsia="標楷體" w:hAnsi="標楷體"/>
          <w:bCs/>
          <w:color w:val="FF0000"/>
          <w:sz w:val="28"/>
          <w:szCs w:val="28"/>
        </w:rPr>
        <w:t>屬拆除執照併建造執照申報開工案，不得於開工前先行拆除舊有建築物。</w:t>
      </w:r>
    </w:p>
    <w:p w:rsidR="00975442" w:rsidRDefault="00B55DEB">
      <w:pPr>
        <w:overflowPunct w:val="0"/>
        <w:spacing w:line="460" w:lineRule="exact"/>
        <w:ind w:left="835" w:firstLine="560"/>
        <w:jc w:val="both"/>
        <w:rPr>
          <w:rFonts w:ascii="標楷體" w:eastAsia="標楷體" w:hAnsi="標楷體"/>
          <w:bCs/>
          <w:color w:val="FF0000"/>
          <w:sz w:val="28"/>
          <w:szCs w:val="28"/>
        </w:rPr>
      </w:pPr>
      <w:r>
        <w:rPr>
          <w:rFonts w:ascii="標楷體" w:eastAsia="標楷體" w:hAnsi="標楷體"/>
          <w:bCs/>
          <w:color w:val="FF0000"/>
          <w:sz w:val="28"/>
          <w:szCs w:val="28"/>
        </w:rPr>
        <w:t>拆除老舊含石棉之建材，其拆除施工計畫書應明定拆除前之施工勘查、施工中對環境及施工人員之污染防護及施工後之清除處理。</w:t>
      </w:r>
    </w:p>
    <w:p w:rsidR="00975442" w:rsidRDefault="00B55DEB">
      <w:pPr>
        <w:overflowPunct w:val="0"/>
        <w:spacing w:line="460" w:lineRule="exact"/>
        <w:ind w:left="835" w:firstLine="560"/>
        <w:jc w:val="both"/>
      </w:pPr>
      <w:r>
        <w:rPr>
          <w:rFonts w:ascii="標楷體" w:eastAsia="標楷體" w:hAnsi="標楷體"/>
          <w:bCs/>
          <w:sz w:val="28"/>
          <w:szCs w:val="28"/>
        </w:rPr>
        <w:t>下列建築基地除</w:t>
      </w:r>
      <w:r>
        <w:rPr>
          <w:rFonts w:ascii="標楷體" w:eastAsia="標楷體" w:hAnsi="標楷體"/>
          <w:bCs/>
          <w:color w:val="FF0000"/>
          <w:sz w:val="28"/>
          <w:szCs w:val="28"/>
        </w:rPr>
        <w:t>第一</w:t>
      </w:r>
      <w:r>
        <w:rPr>
          <w:rFonts w:ascii="標楷體" w:eastAsia="標楷體" w:hAnsi="標楷體"/>
          <w:bCs/>
          <w:sz w:val="28"/>
          <w:szCs w:val="28"/>
        </w:rPr>
        <w:t>項規定書件外，並應檢附施工圍籬綠美化計畫及圖說：</w:t>
      </w:r>
    </w:p>
    <w:p w:rsidR="00975442" w:rsidRDefault="00B55DEB">
      <w:pPr>
        <w:overflowPunct w:val="0"/>
        <w:snapToGrid w:val="0"/>
        <w:spacing w:line="460" w:lineRule="exact"/>
        <w:ind w:left="1952" w:hanging="560"/>
        <w:jc w:val="both"/>
        <w:rPr>
          <w:rFonts w:ascii="標楷體" w:eastAsia="標楷體" w:hAnsi="標楷體"/>
          <w:bCs/>
          <w:sz w:val="28"/>
          <w:szCs w:val="28"/>
        </w:rPr>
      </w:pPr>
      <w:r>
        <w:rPr>
          <w:rFonts w:ascii="標楷體" w:eastAsia="標楷體" w:hAnsi="標楷體"/>
          <w:bCs/>
          <w:sz w:val="28"/>
          <w:szCs w:val="28"/>
        </w:rPr>
        <w:t>一、實施都市計畫地區面前道路寬度達二十公尺以上、臨接長度二十五公尺以上且建築物層數在六層以上者。</w:t>
      </w:r>
    </w:p>
    <w:p w:rsidR="00975442" w:rsidRDefault="00B55DEB">
      <w:pPr>
        <w:overflowPunct w:val="0"/>
        <w:snapToGrid w:val="0"/>
        <w:spacing w:line="460" w:lineRule="exact"/>
        <w:ind w:left="1952" w:hanging="560"/>
        <w:jc w:val="both"/>
        <w:rPr>
          <w:rFonts w:ascii="標楷體" w:eastAsia="標楷體" w:hAnsi="標楷體"/>
          <w:bCs/>
          <w:sz w:val="28"/>
          <w:szCs w:val="28"/>
        </w:rPr>
      </w:pPr>
      <w:r>
        <w:rPr>
          <w:rFonts w:ascii="標楷體" w:eastAsia="標楷體" w:hAnsi="標楷體"/>
          <w:bCs/>
          <w:sz w:val="28"/>
          <w:szCs w:val="28"/>
        </w:rPr>
        <w:t>二、應辦理都市設計審議者。</w:t>
      </w:r>
    </w:p>
    <w:p w:rsidR="00975442" w:rsidRDefault="00B55DEB">
      <w:pPr>
        <w:overflowPunct w:val="0"/>
        <w:snapToGrid w:val="0"/>
        <w:spacing w:line="460" w:lineRule="exact"/>
        <w:ind w:left="1952" w:hanging="560"/>
        <w:jc w:val="both"/>
        <w:rPr>
          <w:rFonts w:ascii="標楷體" w:eastAsia="標楷體" w:hAnsi="標楷體"/>
          <w:bCs/>
          <w:sz w:val="28"/>
          <w:szCs w:val="28"/>
        </w:rPr>
      </w:pPr>
      <w:r>
        <w:rPr>
          <w:rFonts w:ascii="標楷體" w:eastAsia="標楷體" w:hAnsi="標楷體"/>
          <w:bCs/>
          <w:sz w:val="28"/>
          <w:szCs w:val="28"/>
        </w:rPr>
        <w:t>三、依都市計畫法令或建築法令規定得獎勵容積者。</w:t>
      </w:r>
    </w:p>
    <w:p w:rsidR="00975442" w:rsidRDefault="00B55DEB">
      <w:pPr>
        <w:overflowPunct w:val="0"/>
        <w:snapToGrid w:val="0"/>
        <w:spacing w:line="460" w:lineRule="exact"/>
        <w:ind w:left="1952" w:hanging="560"/>
        <w:jc w:val="both"/>
        <w:rPr>
          <w:rFonts w:ascii="標楷體" w:eastAsia="標楷體" w:hAnsi="標楷體"/>
          <w:bCs/>
          <w:sz w:val="28"/>
          <w:szCs w:val="28"/>
        </w:rPr>
      </w:pPr>
      <w:r>
        <w:rPr>
          <w:rFonts w:ascii="標楷體" w:eastAsia="標楷體" w:hAnsi="標楷體"/>
          <w:bCs/>
          <w:sz w:val="28"/>
          <w:szCs w:val="28"/>
        </w:rPr>
        <w:t>四、辦理容積移轉之接受基地。</w:t>
      </w:r>
    </w:p>
    <w:p w:rsidR="00975442" w:rsidRDefault="00B55DEB">
      <w:pPr>
        <w:overflowPunct w:val="0"/>
        <w:snapToGrid w:val="0"/>
        <w:spacing w:line="460" w:lineRule="exact"/>
        <w:ind w:left="1952" w:hanging="560"/>
        <w:jc w:val="both"/>
        <w:rPr>
          <w:rFonts w:ascii="標楷體" w:eastAsia="標楷體" w:hAnsi="標楷體"/>
          <w:bCs/>
          <w:sz w:val="28"/>
          <w:szCs w:val="28"/>
        </w:rPr>
      </w:pPr>
      <w:r>
        <w:rPr>
          <w:rFonts w:ascii="標楷體" w:eastAsia="標楷體" w:hAnsi="標楷體"/>
          <w:bCs/>
          <w:sz w:val="28"/>
          <w:szCs w:val="28"/>
        </w:rPr>
        <w:t>五、應實施環境影響評估者。</w:t>
      </w:r>
    </w:p>
    <w:p w:rsidR="00975442" w:rsidRDefault="00B55DEB">
      <w:pPr>
        <w:overflowPunct w:val="0"/>
        <w:spacing w:line="460" w:lineRule="exact"/>
        <w:ind w:left="835" w:firstLine="560"/>
        <w:jc w:val="both"/>
      </w:pPr>
      <w:r>
        <w:rPr>
          <w:rFonts w:ascii="標楷體" w:eastAsia="標楷體" w:hAnsi="標楷體"/>
          <w:bCs/>
          <w:sz w:val="28"/>
          <w:szCs w:val="28"/>
        </w:rPr>
        <w:t>前項綠美化施工圍籬得以彩繪、設置綠化植栽或其他美化方式規劃設計，其綠美化面積應達沿街面安全圍籬面積百分之五十</w:t>
      </w:r>
      <w:r>
        <w:rPr>
          <w:rFonts w:ascii="標楷體" w:eastAsia="標楷體" w:hAnsi="標楷體"/>
          <w:bCs/>
          <w:sz w:val="28"/>
          <w:szCs w:val="28"/>
        </w:rPr>
        <w:lastRenderedPageBreak/>
        <w:t>以上。</w:t>
      </w:r>
    </w:p>
    <w:p w:rsidR="00975442" w:rsidRDefault="00B55DEB">
      <w:pPr>
        <w:pStyle w:val="ac"/>
        <w:snapToGrid w:val="0"/>
        <w:spacing w:line="460" w:lineRule="exact"/>
        <w:ind w:left="840" w:hanging="840"/>
      </w:pPr>
      <w:r>
        <w:rPr>
          <w:color w:val="auto"/>
          <w:sz w:val="28"/>
          <w:szCs w:val="28"/>
        </w:rPr>
        <w:t xml:space="preserve">第九條　　</w:t>
      </w:r>
      <w:bookmarkStart w:id="1" w:name="_Hlk527121177"/>
      <w:r>
        <w:rPr>
          <w:sz w:val="28"/>
          <w:szCs w:val="28"/>
        </w:rPr>
        <w:t>前條第一項所定期間屆滿之日適逢國定例假日者，非屬指定必須派員勘驗之樓層，</w:t>
      </w:r>
      <w:r>
        <w:rPr>
          <w:sz w:val="28"/>
          <w:szCs w:val="28"/>
        </w:rPr>
        <w:t>且距前次混凝土澆置逾十四日或核准縮短工程進度勘驗期間者，得提前於例假日前一日</w:t>
      </w:r>
      <w:r>
        <w:rPr>
          <w:color w:val="FF0000"/>
          <w:sz w:val="28"/>
          <w:szCs w:val="28"/>
        </w:rPr>
        <w:t>，</w:t>
      </w:r>
      <w:r>
        <w:rPr>
          <w:sz w:val="28"/>
          <w:szCs w:val="28"/>
        </w:rPr>
        <w:t>檢附</w:t>
      </w:r>
      <w:r>
        <w:rPr>
          <w:color w:val="FF0000"/>
          <w:sz w:val="28"/>
          <w:szCs w:val="28"/>
        </w:rPr>
        <w:t>註明混凝土澆置時間之施工切結文件等</w:t>
      </w:r>
      <w:r>
        <w:rPr>
          <w:sz w:val="28"/>
          <w:szCs w:val="28"/>
        </w:rPr>
        <w:t>相關資料，申報勘驗</w:t>
      </w:r>
      <w:r>
        <w:rPr>
          <w:color w:val="FF0000"/>
          <w:sz w:val="28"/>
          <w:szCs w:val="28"/>
        </w:rPr>
        <w:t>；</w:t>
      </w:r>
      <w:r>
        <w:rPr>
          <w:sz w:val="28"/>
          <w:szCs w:val="28"/>
        </w:rPr>
        <w:t>或於該假期間先行傳送勘驗申報書，並於假期結束</w:t>
      </w:r>
      <w:r>
        <w:rPr>
          <w:color w:val="FF0000"/>
          <w:sz w:val="28"/>
          <w:szCs w:val="28"/>
        </w:rPr>
        <w:t>次一</w:t>
      </w:r>
      <w:r>
        <w:rPr>
          <w:sz w:val="28"/>
          <w:szCs w:val="28"/>
        </w:rPr>
        <w:t>上班日檢附相關書件補辦申報勘驗。</w:t>
      </w:r>
      <w:bookmarkEnd w:id="1"/>
    </w:p>
    <w:p w:rsidR="00975442" w:rsidRDefault="00B55DEB">
      <w:pPr>
        <w:pStyle w:val="ac"/>
        <w:snapToGrid w:val="0"/>
        <w:spacing w:line="460" w:lineRule="exact"/>
        <w:ind w:left="1120" w:hanging="1120"/>
      </w:pPr>
      <w:r>
        <w:rPr>
          <w:color w:val="auto"/>
          <w:sz w:val="28"/>
          <w:szCs w:val="28"/>
        </w:rPr>
        <w:t>第十六條　　承造人應向營建賸餘土石方資訊服務中心申報營建賸餘土石方（以下簡稱餘土）種類、數量及去處；有運至公共工程之工地處理者，都發局應副知公共工程主辦單位。</w:t>
      </w:r>
    </w:p>
    <w:p w:rsidR="00975442" w:rsidRDefault="00B55DEB">
      <w:pPr>
        <w:pStyle w:val="ac"/>
        <w:snapToGrid w:val="0"/>
        <w:spacing w:line="460" w:lineRule="exact"/>
        <w:ind w:left="1133" w:firstLine="566"/>
      </w:pPr>
      <w:r>
        <w:rPr>
          <w:bCs/>
          <w:color w:val="FF0000"/>
          <w:sz w:val="28"/>
          <w:szCs w:val="28"/>
        </w:rPr>
        <w:t>承造人應於每月十日前，檢附前月餘土處理完成證明文件報都發局備查；餘土處理完成後，應於基礎勘驗申報後三十日內，將處理完成證明文件報都發局</w:t>
      </w:r>
      <w:r>
        <w:rPr>
          <w:bCs/>
          <w:color w:val="FF0000"/>
          <w:sz w:val="28"/>
          <w:szCs w:val="28"/>
        </w:rPr>
        <w:t>備查。</w:t>
      </w:r>
    </w:p>
    <w:p w:rsidR="00975442" w:rsidRDefault="00B55DEB">
      <w:pPr>
        <w:overflowPunct w:val="0"/>
        <w:spacing w:line="460" w:lineRule="exact"/>
        <w:ind w:left="1134" w:hanging="1134"/>
        <w:jc w:val="both"/>
        <w:rPr>
          <w:rFonts w:ascii="標楷體" w:eastAsia="標楷體" w:hAnsi="標楷體"/>
          <w:sz w:val="28"/>
          <w:szCs w:val="28"/>
        </w:rPr>
      </w:pPr>
      <w:r>
        <w:rPr>
          <w:rFonts w:ascii="標楷體" w:eastAsia="標楷體" w:hAnsi="標楷體"/>
          <w:sz w:val="28"/>
          <w:szCs w:val="28"/>
        </w:rPr>
        <w:t>第十八條　　建築物施工時，其建築材料、施工機具及廢棄物應在其安全圍籬內堆放。基地地下室全部開挖者，並應詳訂施工計畫，採取分段施工或架設施工構臺。但基地情形特殊且無其他替代方法可以施工時，其施工機具需臨時使用道路時，應報經交通局核准。</w:t>
      </w:r>
    </w:p>
    <w:p w:rsidR="00975442" w:rsidRDefault="00B55DEB">
      <w:pPr>
        <w:overflowPunct w:val="0"/>
        <w:spacing w:line="460" w:lineRule="exact"/>
        <w:ind w:left="1120" w:hanging="1120"/>
        <w:jc w:val="both"/>
      </w:pPr>
      <w:r>
        <w:rPr>
          <w:rFonts w:ascii="標楷體" w:eastAsia="標楷體" w:hAnsi="標楷體"/>
          <w:sz w:val="28"/>
          <w:szCs w:val="28"/>
        </w:rPr>
        <w:t xml:space="preserve">第十九條　　</w:t>
      </w:r>
      <w:bookmarkStart w:id="2" w:name="_Hlk527121349"/>
      <w:r>
        <w:rPr>
          <w:rFonts w:ascii="標楷體" w:eastAsia="標楷體" w:hAnsi="標楷體"/>
          <w:sz w:val="28"/>
          <w:szCs w:val="28"/>
        </w:rPr>
        <w:t>建築工地</w:t>
      </w:r>
      <w:r>
        <w:rPr>
          <w:rFonts w:ascii="標楷體" w:eastAsia="標楷體" w:hAnsi="標楷體"/>
          <w:color w:val="FF0000"/>
          <w:sz w:val="28"/>
          <w:szCs w:val="28"/>
        </w:rPr>
        <w:t>施工時，</w:t>
      </w:r>
      <w:r>
        <w:rPr>
          <w:rFonts w:ascii="標楷體" w:eastAsia="標楷體" w:hAnsi="標楷體"/>
          <w:sz w:val="28"/>
          <w:szCs w:val="28"/>
        </w:rPr>
        <w:t>應</w:t>
      </w:r>
      <w:r>
        <w:rPr>
          <w:rFonts w:ascii="標楷體" w:eastAsia="標楷體" w:hAnsi="標楷體"/>
          <w:color w:val="FF0000"/>
          <w:sz w:val="28"/>
          <w:szCs w:val="28"/>
        </w:rPr>
        <w:t>為下列各款措施，</w:t>
      </w:r>
      <w:r>
        <w:rPr>
          <w:rFonts w:ascii="標楷體" w:eastAsia="標楷體" w:hAnsi="標楷體"/>
          <w:sz w:val="28"/>
          <w:szCs w:val="28"/>
        </w:rPr>
        <w:t>防止物體墜落及物料</w:t>
      </w:r>
      <w:r>
        <w:rPr>
          <w:rFonts w:ascii="標楷體" w:eastAsia="標楷體" w:hAnsi="標楷體"/>
          <w:color w:val="FF0000"/>
          <w:sz w:val="28"/>
          <w:szCs w:val="28"/>
        </w:rPr>
        <w:t>、</w:t>
      </w:r>
      <w:r>
        <w:rPr>
          <w:rFonts w:ascii="標楷體" w:eastAsia="標楷體" w:hAnsi="標楷體"/>
          <w:sz w:val="28"/>
          <w:szCs w:val="28"/>
        </w:rPr>
        <w:t>灰塵向外飛散：</w:t>
      </w:r>
      <w:bookmarkEnd w:id="2"/>
    </w:p>
    <w:p w:rsidR="00975442" w:rsidRDefault="00B55DEB">
      <w:pPr>
        <w:overflowPunct w:val="0"/>
        <w:snapToGrid w:val="0"/>
        <w:spacing w:line="460" w:lineRule="exact"/>
        <w:ind w:left="2240" w:hanging="560"/>
        <w:jc w:val="both"/>
      </w:pPr>
      <w:r>
        <w:rPr>
          <w:rFonts w:ascii="標楷體" w:eastAsia="標楷體" w:hAnsi="標楷體"/>
          <w:bCs/>
          <w:sz w:val="28"/>
          <w:szCs w:val="28"/>
        </w:rPr>
        <w:t>一、</w:t>
      </w:r>
      <w:r>
        <w:rPr>
          <w:rFonts w:ascii="標楷體" w:eastAsia="標楷體" w:hAnsi="標楷體"/>
          <w:bCs/>
          <w:color w:val="FF0000"/>
          <w:sz w:val="28"/>
          <w:szCs w:val="28"/>
        </w:rPr>
        <w:t>設置</w:t>
      </w:r>
      <w:r>
        <w:rPr>
          <w:rFonts w:ascii="標楷體" w:eastAsia="標楷體" w:hAnsi="標楷體"/>
          <w:bCs/>
          <w:sz w:val="28"/>
          <w:szCs w:val="28"/>
        </w:rPr>
        <w:t>施工架：六層以上建築物施工時，應使用鋼管施工架，施工架柱腳底，應襯厚木底板或採取其他防沉陷措施。採用鋼骨構造無施工架施工之建築物，四周牆面開口需設置安全防護措施及網格不大於十五公釐</w:t>
      </w:r>
      <w:r>
        <w:rPr>
          <w:rFonts w:ascii="標楷體" w:eastAsia="標楷體" w:hAnsi="標楷體"/>
          <w:bCs/>
          <w:sz w:val="28"/>
          <w:szCs w:val="28"/>
        </w:rPr>
        <w:t>之護網；其他有關安全防護措施之設置規定，應依職業安全衛生法相關規定辦理。</w:t>
      </w:r>
    </w:p>
    <w:p w:rsidR="00975442" w:rsidRDefault="00B55DEB">
      <w:pPr>
        <w:overflowPunct w:val="0"/>
        <w:snapToGrid w:val="0"/>
        <w:spacing w:line="460" w:lineRule="exact"/>
        <w:ind w:left="2240" w:hanging="560"/>
        <w:jc w:val="both"/>
      </w:pPr>
      <w:r>
        <w:rPr>
          <w:rFonts w:ascii="標楷體" w:eastAsia="標楷體" w:hAnsi="標楷體"/>
          <w:bCs/>
          <w:sz w:val="28"/>
          <w:szCs w:val="28"/>
        </w:rPr>
        <w:t>二、</w:t>
      </w:r>
      <w:r>
        <w:rPr>
          <w:rFonts w:ascii="標楷體" w:eastAsia="標楷體" w:hAnsi="標楷體"/>
          <w:bCs/>
          <w:color w:val="FF0000"/>
          <w:sz w:val="28"/>
          <w:szCs w:val="28"/>
        </w:rPr>
        <w:t>設置</w:t>
      </w:r>
      <w:r>
        <w:rPr>
          <w:rFonts w:ascii="標楷體" w:eastAsia="標楷體" w:hAnsi="標楷體"/>
          <w:bCs/>
          <w:sz w:val="28"/>
          <w:szCs w:val="28"/>
        </w:rPr>
        <w:t>護網或帆布護籬：位於建築工程二層以上之施工架外部應置二十號以上鍍鋅鐵絲網或一點三公釐徑尼龍塑膠網，網格不得大於十五公釐，搭接長度不得小於二十公分；帆布護籬應使用厚零點二二公釐以上之</w:t>
      </w:r>
      <w:r>
        <w:rPr>
          <w:rFonts w:ascii="標楷體" w:eastAsia="標楷體" w:hAnsi="標楷體"/>
          <w:bCs/>
          <w:sz w:val="28"/>
          <w:szCs w:val="28"/>
        </w:rPr>
        <w:lastRenderedPageBreak/>
        <w:t>帆布。</w:t>
      </w:r>
    </w:p>
    <w:p w:rsidR="00975442" w:rsidRDefault="00B55DEB">
      <w:pPr>
        <w:overflowPunct w:val="0"/>
        <w:snapToGrid w:val="0"/>
        <w:spacing w:line="460" w:lineRule="exact"/>
        <w:ind w:left="2240" w:hanging="560"/>
        <w:jc w:val="both"/>
      </w:pPr>
      <w:r>
        <w:rPr>
          <w:rFonts w:ascii="標楷體" w:eastAsia="標楷體" w:hAnsi="標楷體"/>
          <w:bCs/>
          <w:sz w:val="28"/>
          <w:szCs w:val="28"/>
        </w:rPr>
        <w:t>三、</w:t>
      </w:r>
      <w:r>
        <w:rPr>
          <w:rFonts w:ascii="標楷體" w:eastAsia="標楷體" w:hAnsi="標楷體"/>
          <w:bCs/>
          <w:color w:val="FF0000"/>
          <w:sz w:val="28"/>
          <w:szCs w:val="28"/>
        </w:rPr>
        <w:t>設置</w:t>
      </w:r>
      <w:r>
        <w:rPr>
          <w:rFonts w:ascii="標楷體" w:eastAsia="標楷體" w:hAnsi="標楷體"/>
          <w:bCs/>
          <w:sz w:val="28"/>
          <w:szCs w:val="28"/>
        </w:rPr>
        <w:t>斜籬：五層以上建築物施工，施工架斜籬應使用框架式以九公釐厚夾版或一點二公釐厚鋼板，每五層至少設置一處，其突出施工架寬度至少二公尺。斜籬設置處遇有障礙物時，應予以避開。</w:t>
      </w:r>
    </w:p>
    <w:p w:rsidR="00975442" w:rsidRDefault="00B55DEB">
      <w:pPr>
        <w:overflowPunct w:val="0"/>
        <w:snapToGrid w:val="0"/>
        <w:spacing w:line="460" w:lineRule="exact"/>
        <w:ind w:left="2240" w:hanging="560"/>
        <w:jc w:val="both"/>
      </w:pPr>
      <w:r>
        <w:rPr>
          <w:rFonts w:ascii="標楷體" w:eastAsia="標楷體" w:hAnsi="標楷體"/>
          <w:bCs/>
          <w:sz w:val="28"/>
          <w:szCs w:val="28"/>
        </w:rPr>
        <w:t>四、設置垃圾導管或加設防護裝置之垃圾滑槽</w:t>
      </w:r>
      <w:r>
        <w:rPr>
          <w:rFonts w:ascii="標楷體" w:eastAsia="標楷體" w:hAnsi="標楷體"/>
          <w:bCs/>
          <w:color w:val="FF0000"/>
          <w:sz w:val="28"/>
          <w:szCs w:val="28"/>
        </w:rPr>
        <w:t>。</w:t>
      </w:r>
      <w:r>
        <w:rPr>
          <w:rFonts w:ascii="標楷體" w:eastAsia="標楷體" w:hAnsi="標楷體"/>
          <w:bCs/>
          <w:color w:val="FF0000"/>
          <w:sz w:val="28"/>
          <w:szCs w:val="28"/>
        </w:rPr>
        <w:t>但利用電梯孔、管道間清運垃圾者，不在此限</w:t>
      </w:r>
      <w:r>
        <w:rPr>
          <w:rFonts w:ascii="標楷體" w:eastAsia="標楷體" w:hAnsi="標楷體"/>
          <w:bCs/>
          <w:sz w:val="28"/>
          <w:szCs w:val="28"/>
        </w:rPr>
        <w:t>。</w:t>
      </w:r>
    </w:p>
    <w:p w:rsidR="00975442" w:rsidRDefault="00B55DEB">
      <w:pPr>
        <w:overflowPunct w:val="0"/>
        <w:snapToGrid w:val="0"/>
        <w:spacing w:line="460" w:lineRule="exact"/>
        <w:ind w:left="2240" w:hanging="560"/>
        <w:jc w:val="both"/>
      </w:pPr>
      <w:r>
        <w:rPr>
          <w:rFonts w:ascii="標楷體" w:eastAsia="標楷體" w:hAnsi="標楷體"/>
          <w:bCs/>
          <w:sz w:val="28"/>
          <w:szCs w:val="28"/>
        </w:rPr>
        <w:t>五、拆除工程應於施工前評估物料飛散範圍，</w:t>
      </w:r>
      <w:r>
        <w:rPr>
          <w:rFonts w:ascii="標楷體" w:eastAsia="標楷體" w:hAnsi="標楷體"/>
          <w:bCs/>
          <w:color w:val="FF0000"/>
          <w:sz w:val="28"/>
          <w:szCs w:val="28"/>
        </w:rPr>
        <w:t>並</w:t>
      </w:r>
      <w:r>
        <w:rPr>
          <w:rFonts w:ascii="標楷體" w:eastAsia="標楷體" w:hAnsi="標楷體"/>
          <w:bCs/>
          <w:sz w:val="28"/>
          <w:szCs w:val="28"/>
        </w:rPr>
        <w:t>於使用道路範圍內設置必要高度之鋼板圍籬區隔。經評估使用道路範圍不足以防範公共安全，得提具道路交通維護計畫報交通局核准，增加使用道路範圍。</w:t>
      </w:r>
    </w:p>
    <w:p w:rsidR="00975442" w:rsidRDefault="00B55DEB">
      <w:pPr>
        <w:overflowPunct w:val="0"/>
        <w:snapToGrid w:val="0"/>
        <w:spacing w:line="460" w:lineRule="exact"/>
        <w:ind w:left="1080" w:firstLine="560"/>
        <w:jc w:val="both"/>
        <w:rPr>
          <w:rFonts w:ascii="標楷體" w:eastAsia="標楷體" w:hAnsi="標楷體"/>
          <w:bCs/>
          <w:sz w:val="28"/>
          <w:szCs w:val="28"/>
        </w:rPr>
      </w:pPr>
      <w:r>
        <w:rPr>
          <w:rFonts w:ascii="標楷體" w:eastAsia="標楷體" w:hAnsi="標楷體"/>
          <w:bCs/>
          <w:sz w:val="28"/>
          <w:szCs w:val="28"/>
        </w:rPr>
        <w:t>工地負責人、工地主任或專任工程人員對施工架、固定式起重機等假設工程，應依職業安全衛生法及相關法規之規定實施自主檢查。</w:t>
      </w:r>
    </w:p>
    <w:p w:rsidR="00975442" w:rsidRDefault="00B55DEB">
      <w:pPr>
        <w:overflowPunct w:val="0"/>
        <w:spacing w:line="460" w:lineRule="exact"/>
        <w:ind w:left="1982" w:hanging="1982"/>
        <w:jc w:val="both"/>
      </w:pPr>
      <w:r>
        <w:rPr>
          <w:rFonts w:ascii="標楷體" w:eastAsia="標楷體" w:hAnsi="標楷體"/>
          <w:sz w:val="28"/>
          <w:szCs w:val="28"/>
        </w:rPr>
        <w:t>第二十八條之一　　海上颱風警報第一次發布後一日內，承造人應做好防止施工物件飛落或傾倒等安全措施，並填具防颱作業工地自主檢查表留存工地備查</w:t>
      </w:r>
      <w:bookmarkStart w:id="3" w:name="_Hlk527121724"/>
      <w:r>
        <w:rPr>
          <w:rFonts w:ascii="標楷體" w:eastAsia="標楷體" w:hAnsi="標楷體"/>
          <w:color w:val="FF0000"/>
          <w:sz w:val="28"/>
          <w:szCs w:val="28"/>
        </w:rPr>
        <w:t>；經都發局以行動應用軟體</w:t>
      </w:r>
      <w:r>
        <w:rPr>
          <w:rFonts w:ascii="標楷體" w:eastAsia="標楷體" w:hAnsi="標楷體"/>
          <w:color w:val="FF0000"/>
          <w:sz w:val="28"/>
          <w:szCs w:val="28"/>
        </w:rPr>
        <w:t>(App)</w:t>
      </w:r>
      <w:r>
        <w:rPr>
          <w:rFonts w:ascii="標楷體" w:eastAsia="標楷體" w:hAnsi="標楷體"/>
          <w:color w:val="FF0000"/>
          <w:sz w:val="28"/>
          <w:szCs w:val="28"/>
        </w:rPr>
        <w:t>推播之一定規模工地，須另依限檢附現場照片回報</w:t>
      </w:r>
      <w:r>
        <w:rPr>
          <w:rFonts w:ascii="標楷體" w:eastAsia="標楷體" w:hAnsi="標楷體"/>
          <w:sz w:val="28"/>
          <w:szCs w:val="28"/>
        </w:rPr>
        <w:t>。</w:t>
      </w:r>
      <w:bookmarkEnd w:id="3"/>
    </w:p>
    <w:p w:rsidR="00975442" w:rsidRDefault="00B55DEB">
      <w:pPr>
        <w:overflowPunct w:val="0"/>
        <w:spacing w:line="460" w:lineRule="exact"/>
        <w:ind w:left="1985" w:firstLine="566"/>
        <w:jc w:val="both"/>
        <w:rPr>
          <w:rFonts w:ascii="標楷體" w:eastAsia="標楷體" w:hAnsi="標楷體"/>
          <w:color w:val="FF0000"/>
          <w:sz w:val="28"/>
          <w:szCs w:val="28"/>
        </w:rPr>
      </w:pPr>
      <w:r>
        <w:rPr>
          <w:rFonts w:ascii="標楷體" w:eastAsia="標楷體" w:hAnsi="標楷體"/>
          <w:color w:val="FF0000"/>
          <w:sz w:val="28"/>
          <w:szCs w:val="28"/>
        </w:rPr>
        <w:t>地震震度達四級以上地區之施工中建築物，於地震前七日內有澆置混凝土行為者，起造人、承造人、監造人應針對該樓層結構安全檢測，並將共同出具之安全證明書或公會鑑定報告送都發局備查。</w:t>
      </w:r>
    </w:p>
    <w:p w:rsidR="00975442" w:rsidRDefault="00B55DEB">
      <w:pPr>
        <w:overflowPunct w:val="0"/>
        <w:spacing w:line="460" w:lineRule="exact"/>
        <w:ind w:left="1985" w:firstLine="566"/>
        <w:jc w:val="both"/>
        <w:rPr>
          <w:rFonts w:ascii="標楷體" w:eastAsia="標楷體" w:hAnsi="標楷體"/>
          <w:color w:val="FF0000"/>
          <w:sz w:val="28"/>
          <w:szCs w:val="28"/>
        </w:rPr>
      </w:pPr>
      <w:bookmarkStart w:id="4" w:name="_Hlk527121783"/>
      <w:r>
        <w:rPr>
          <w:rFonts w:ascii="標楷體" w:eastAsia="標楷體" w:hAnsi="標楷體"/>
          <w:color w:val="FF0000"/>
          <w:sz w:val="28"/>
          <w:szCs w:val="28"/>
        </w:rPr>
        <w:t>經都發局以行動應用軟體</w:t>
      </w:r>
      <w:r>
        <w:rPr>
          <w:rFonts w:ascii="標楷體" w:eastAsia="標楷體" w:hAnsi="標楷體"/>
          <w:color w:val="FF0000"/>
          <w:sz w:val="28"/>
          <w:szCs w:val="28"/>
        </w:rPr>
        <w:t>(App)</w:t>
      </w:r>
      <w:r>
        <w:rPr>
          <w:rFonts w:ascii="標楷體" w:eastAsia="標楷體" w:hAnsi="標楷體"/>
          <w:color w:val="FF0000"/>
          <w:sz w:val="28"/>
          <w:szCs w:val="28"/>
        </w:rPr>
        <w:t>推播須回報之工地，應於規定期限內回報。</w:t>
      </w:r>
      <w:bookmarkEnd w:id="4"/>
    </w:p>
    <w:p w:rsidR="00975442" w:rsidRDefault="00B55DEB">
      <w:pPr>
        <w:pStyle w:val="ac"/>
        <w:snapToGrid w:val="0"/>
        <w:spacing w:line="460" w:lineRule="exact"/>
        <w:ind w:left="1120" w:hanging="1120"/>
        <w:rPr>
          <w:color w:val="auto"/>
          <w:sz w:val="28"/>
          <w:szCs w:val="28"/>
        </w:rPr>
      </w:pPr>
      <w:r>
        <w:rPr>
          <w:color w:val="auto"/>
          <w:sz w:val="28"/>
          <w:szCs w:val="28"/>
        </w:rPr>
        <w:t>第三十條　　損鄰事件發生後，應由雙方自行協調，協調不成經受損房屋所有權人</w:t>
      </w:r>
      <w:r>
        <w:rPr>
          <w:color w:val="auto"/>
          <w:sz w:val="28"/>
          <w:szCs w:val="28"/>
        </w:rPr>
        <w:t>(</w:t>
      </w:r>
      <w:r>
        <w:rPr>
          <w:color w:val="auto"/>
          <w:sz w:val="28"/>
          <w:szCs w:val="28"/>
        </w:rPr>
        <w:t>以下簡稱受損戶</w:t>
      </w:r>
      <w:r>
        <w:rPr>
          <w:color w:val="auto"/>
          <w:sz w:val="28"/>
          <w:szCs w:val="28"/>
        </w:rPr>
        <w:t>)</w:t>
      </w:r>
      <w:r>
        <w:rPr>
          <w:color w:val="auto"/>
          <w:sz w:val="28"/>
          <w:szCs w:val="28"/>
        </w:rPr>
        <w:t>向都發局請求處理時，都發局應於文到七日內通知工程起造人、監造人、承造人、營造業之專任工程人員及受損戶會同勘查損壞情形，經會勘認定</w:t>
      </w:r>
      <w:r>
        <w:rPr>
          <w:color w:val="auto"/>
          <w:sz w:val="28"/>
          <w:szCs w:val="28"/>
        </w:rPr>
        <w:t>係因施工而損壞者，應予列管，並依下列程序處理：</w:t>
      </w:r>
    </w:p>
    <w:p w:rsidR="00975442" w:rsidRDefault="00B55DEB">
      <w:pPr>
        <w:pStyle w:val="ac"/>
        <w:snapToGrid w:val="0"/>
        <w:spacing w:line="460" w:lineRule="exact"/>
        <w:ind w:left="2360" w:hanging="560"/>
        <w:rPr>
          <w:color w:val="auto"/>
          <w:sz w:val="28"/>
          <w:szCs w:val="28"/>
        </w:rPr>
      </w:pPr>
      <w:r>
        <w:rPr>
          <w:color w:val="auto"/>
          <w:sz w:val="28"/>
          <w:szCs w:val="28"/>
        </w:rPr>
        <w:lastRenderedPageBreak/>
        <w:t>一、無危害公共安全之虞者得准予繼續施工，並責由承造人直接與受損戶協調損害修復賠償事宜及加強維護安全措施；承造人、監造人及營造業之專任工程人員應親自或指派專人處理協調事宜。但監造人無法當場認定，應暫時停工並於七日內提出書面報告，經都發局核准後始得繼續施工。</w:t>
      </w:r>
    </w:p>
    <w:p w:rsidR="00975442" w:rsidRDefault="00B55DEB">
      <w:pPr>
        <w:pStyle w:val="ac"/>
        <w:snapToGrid w:val="0"/>
        <w:spacing w:line="460" w:lineRule="exact"/>
        <w:ind w:left="2360" w:hanging="560"/>
      </w:pPr>
      <w:r>
        <w:rPr>
          <w:color w:val="auto"/>
          <w:sz w:val="28"/>
          <w:szCs w:val="28"/>
        </w:rPr>
        <w:t>二、</w:t>
      </w:r>
      <w:r>
        <w:rPr>
          <w:color w:val="FF0000"/>
          <w:sz w:val="28"/>
          <w:szCs w:val="28"/>
        </w:rPr>
        <w:t>經監造人或都發局委派之專業技師認定</w:t>
      </w:r>
      <w:r>
        <w:rPr>
          <w:color w:val="auto"/>
          <w:sz w:val="28"/>
          <w:szCs w:val="28"/>
        </w:rPr>
        <w:t>有危害公共安全之虞者，應立即停工，承造人及監造人應依建築法相關規定，辦理有關公共安全措施，並向都發局提出報告。</w:t>
      </w:r>
    </w:p>
    <w:p w:rsidR="00975442" w:rsidRDefault="00B55DEB">
      <w:pPr>
        <w:pStyle w:val="ac"/>
        <w:snapToGrid w:val="0"/>
        <w:spacing w:line="460" w:lineRule="exact"/>
        <w:ind w:left="1200" w:firstLine="560"/>
        <w:rPr>
          <w:color w:val="auto"/>
          <w:sz w:val="28"/>
          <w:szCs w:val="28"/>
        </w:rPr>
      </w:pPr>
      <w:r>
        <w:rPr>
          <w:color w:val="auto"/>
          <w:sz w:val="28"/>
          <w:szCs w:val="28"/>
        </w:rPr>
        <w:t>經勘查無法認定係因施工損壞或鄰房房屋邊緣線與工地開挖境界線</w:t>
      </w:r>
      <w:r>
        <w:rPr>
          <w:color w:val="auto"/>
          <w:sz w:val="28"/>
          <w:szCs w:val="28"/>
        </w:rPr>
        <w:t>間之水平距離大於開挖深度三倍以上者，除受損戶洽請鑑定單位鑑定屬施工所致損壞者外，不予列管。</w:t>
      </w:r>
    </w:p>
    <w:p w:rsidR="00975442" w:rsidRDefault="00B55DEB">
      <w:pPr>
        <w:pStyle w:val="ac"/>
        <w:snapToGrid w:val="0"/>
        <w:spacing w:line="460" w:lineRule="exact"/>
        <w:ind w:left="1200" w:firstLine="560"/>
        <w:rPr>
          <w:color w:val="auto"/>
          <w:sz w:val="28"/>
          <w:szCs w:val="28"/>
        </w:rPr>
      </w:pPr>
      <w:r>
        <w:rPr>
          <w:color w:val="auto"/>
          <w:sz w:val="28"/>
          <w:szCs w:val="28"/>
        </w:rPr>
        <w:t>損鄰事件會勘後，起造人或承造人應於七日內與受損戶進行協商並作成紀錄；達成協議者，應繕具和解書函請都發局解除列管。</w:t>
      </w:r>
    </w:p>
    <w:p w:rsidR="00975442" w:rsidRDefault="00B55DEB">
      <w:pPr>
        <w:pStyle w:val="ac"/>
        <w:snapToGrid w:val="0"/>
        <w:spacing w:line="460" w:lineRule="exact"/>
        <w:ind w:left="1400" w:hanging="1400"/>
        <w:rPr>
          <w:color w:val="auto"/>
          <w:sz w:val="28"/>
          <w:szCs w:val="28"/>
        </w:rPr>
      </w:pPr>
      <w:r>
        <w:rPr>
          <w:color w:val="auto"/>
          <w:sz w:val="28"/>
          <w:szCs w:val="28"/>
        </w:rPr>
        <w:t>第三十一條　　施工損鄰爭議事件，得向都發局申請損鄰爭議協調。</w:t>
      </w:r>
    </w:p>
    <w:p w:rsidR="00975442" w:rsidRDefault="00B55DEB">
      <w:pPr>
        <w:pStyle w:val="ac"/>
        <w:snapToGrid w:val="0"/>
        <w:spacing w:line="460" w:lineRule="exact"/>
        <w:ind w:left="1440" w:firstLine="560"/>
        <w:rPr>
          <w:color w:val="auto"/>
          <w:sz w:val="28"/>
          <w:szCs w:val="28"/>
        </w:rPr>
      </w:pPr>
      <w:r>
        <w:rPr>
          <w:color w:val="auto"/>
          <w:sz w:val="28"/>
          <w:szCs w:val="28"/>
        </w:rPr>
        <w:t>損鄰事件之協調處理程序如下：</w:t>
      </w:r>
    </w:p>
    <w:p w:rsidR="00975442" w:rsidRDefault="00B55DEB">
      <w:pPr>
        <w:pStyle w:val="ac"/>
        <w:snapToGrid w:val="0"/>
        <w:spacing w:line="460" w:lineRule="exact"/>
        <w:ind w:left="2600" w:hanging="560"/>
      </w:pPr>
      <w:r>
        <w:rPr>
          <w:color w:val="auto"/>
          <w:sz w:val="28"/>
          <w:szCs w:val="28"/>
        </w:rPr>
        <w:t>一、現場會勘後七日內，爭議雙方未達成協議時，由雙方合意擇定鑑定單位委託申請受損房屋損害鑑定；未達成合意者，任一方得自行擇定鑑定單位委託鑑定</w:t>
      </w:r>
      <w:r>
        <w:rPr>
          <w:color w:val="FF0000"/>
          <w:sz w:val="28"/>
          <w:szCs w:val="28"/>
        </w:rPr>
        <w:t>。</w:t>
      </w:r>
      <w:r>
        <w:rPr>
          <w:color w:val="auto"/>
          <w:sz w:val="28"/>
          <w:szCs w:val="28"/>
        </w:rPr>
        <w:t>鑑定費用由委託人先行代繳，經鑑定確因該施工造成者，其費用由承造人負擔</w:t>
      </w:r>
      <w:r>
        <w:rPr>
          <w:color w:val="FF0000"/>
          <w:sz w:val="28"/>
          <w:szCs w:val="28"/>
        </w:rPr>
        <w:t>，並得併損壞鄰房賠償費用提存法院</w:t>
      </w:r>
      <w:r>
        <w:rPr>
          <w:color w:val="auto"/>
          <w:sz w:val="28"/>
          <w:szCs w:val="28"/>
        </w:rPr>
        <w:t>。</w:t>
      </w:r>
    </w:p>
    <w:p w:rsidR="00975442" w:rsidRDefault="00B55DEB">
      <w:pPr>
        <w:pStyle w:val="ac"/>
        <w:snapToGrid w:val="0"/>
        <w:spacing w:line="460" w:lineRule="exact"/>
        <w:ind w:left="2600" w:hanging="560"/>
        <w:rPr>
          <w:color w:val="auto"/>
          <w:sz w:val="28"/>
          <w:szCs w:val="28"/>
        </w:rPr>
      </w:pPr>
      <w:r>
        <w:rPr>
          <w:color w:val="auto"/>
          <w:sz w:val="28"/>
          <w:szCs w:val="28"/>
        </w:rPr>
        <w:t>二、鑑定後仍不能自行達成協議者，得由任一方向都發局申請建築爭議事件審議。但鄰房受損部分不屬於合法建築物或鄰房之所有權人、使用人無正當理由而拒絕第二十九條之調查者，得不予受理申請審議。</w:t>
      </w:r>
    </w:p>
    <w:p w:rsidR="00975442" w:rsidRDefault="00B55DEB">
      <w:pPr>
        <w:overflowPunct w:val="0"/>
        <w:spacing w:line="460" w:lineRule="exact"/>
        <w:ind w:left="840" w:hanging="840"/>
        <w:jc w:val="both"/>
      </w:pPr>
      <w:r>
        <w:rPr>
          <w:rFonts w:ascii="標楷體" w:eastAsia="標楷體" w:hAnsi="標楷體"/>
          <w:sz w:val="28"/>
          <w:szCs w:val="28"/>
        </w:rPr>
        <w:t>第三十二條　　建築爭議事件</w:t>
      </w:r>
      <w:r>
        <w:rPr>
          <w:rFonts w:ascii="標楷體" w:eastAsia="標楷體" w:hAnsi="標楷體"/>
          <w:color w:val="FF0000"/>
          <w:sz w:val="28"/>
          <w:szCs w:val="28"/>
        </w:rPr>
        <w:t>審議</w:t>
      </w:r>
      <w:r>
        <w:rPr>
          <w:rFonts w:ascii="標楷體" w:eastAsia="標楷體" w:hAnsi="標楷體"/>
          <w:sz w:val="28"/>
          <w:szCs w:val="28"/>
        </w:rPr>
        <w:t>之程序如下：</w:t>
      </w:r>
    </w:p>
    <w:p w:rsidR="00975442" w:rsidRDefault="00B55DEB">
      <w:pPr>
        <w:overflowPunct w:val="0"/>
        <w:snapToGrid w:val="0"/>
        <w:spacing w:line="460" w:lineRule="exact"/>
        <w:ind w:left="2545" w:hanging="560"/>
        <w:jc w:val="both"/>
      </w:pPr>
      <w:r>
        <w:rPr>
          <w:rFonts w:ascii="標楷體" w:eastAsia="標楷體" w:hAnsi="標楷體"/>
          <w:bCs/>
          <w:sz w:val="28"/>
          <w:szCs w:val="28"/>
        </w:rPr>
        <w:t>一、申請人應檢具申請文件、歷次協調紀錄、爭議當事</w:t>
      </w:r>
      <w:r>
        <w:rPr>
          <w:rFonts w:ascii="標楷體" w:eastAsia="標楷體" w:hAnsi="標楷體"/>
          <w:bCs/>
          <w:sz w:val="28"/>
          <w:szCs w:val="28"/>
        </w:rPr>
        <w:lastRenderedPageBreak/>
        <w:t>人之意見理由、鑑定報告及其他有關處理資料，向都發局申請</w:t>
      </w:r>
      <w:r>
        <w:rPr>
          <w:rFonts w:ascii="標楷體" w:eastAsia="標楷體" w:hAnsi="標楷體"/>
          <w:bCs/>
          <w:color w:val="FF0000"/>
          <w:sz w:val="28"/>
          <w:szCs w:val="28"/>
        </w:rPr>
        <w:t>建築爭議事件審議</w:t>
      </w:r>
      <w:r>
        <w:rPr>
          <w:rFonts w:ascii="標楷體" w:eastAsia="標楷體" w:hAnsi="標楷體"/>
          <w:bCs/>
          <w:sz w:val="28"/>
          <w:szCs w:val="28"/>
        </w:rPr>
        <w:t>或由都發局逕提建築爭議事件評審委員會（以下簡稱評審會）審</w:t>
      </w:r>
      <w:r>
        <w:rPr>
          <w:rFonts w:ascii="標楷體" w:eastAsia="標楷體" w:hAnsi="標楷體"/>
          <w:bCs/>
          <w:color w:val="FF0000"/>
          <w:sz w:val="28"/>
          <w:szCs w:val="28"/>
        </w:rPr>
        <w:t>議</w:t>
      </w:r>
      <w:r>
        <w:rPr>
          <w:rFonts w:ascii="標楷體" w:eastAsia="標楷體" w:hAnsi="標楷體"/>
          <w:bCs/>
          <w:sz w:val="28"/>
          <w:szCs w:val="28"/>
        </w:rPr>
        <w:t>。</w:t>
      </w:r>
    </w:p>
    <w:p w:rsidR="00975442" w:rsidRDefault="00B55DEB">
      <w:pPr>
        <w:overflowPunct w:val="0"/>
        <w:snapToGrid w:val="0"/>
        <w:spacing w:line="460" w:lineRule="exact"/>
        <w:ind w:left="2545" w:hanging="560"/>
        <w:jc w:val="both"/>
      </w:pPr>
      <w:r>
        <w:rPr>
          <w:rFonts w:ascii="標楷體" w:eastAsia="標楷體" w:hAnsi="標楷體"/>
          <w:bCs/>
          <w:sz w:val="28"/>
          <w:szCs w:val="28"/>
        </w:rPr>
        <w:t>二、都發局應於受理申請一個月內召開評審會審</w:t>
      </w:r>
      <w:r>
        <w:rPr>
          <w:rFonts w:ascii="標楷體" w:eastAsia="標楷體" w:hAnsi="標楷體"/>
          <w:color w:val="FF0000"/>
          <w:sz w:val="28"/>
          <w:szCs w:val="28"/>
        </w:rPr>
        <w:t>議</w:t>
      </w:r>
      <w:r>
        <w:rPr>
          <w:rFonts w:ascii="標楷體" w:eastAsia="標楷體" w:hAnsi="標楷體"/>
          <w:bCs/>
          <w:sz w:val="28"/>
          <w:szCs w:val="28"/>
        </w:rPr>
        <w:t>。</w:t>
      </w:r>
    </w:p>
    <w:p w:rsidR="00975442" w:rsidRDefault="00B55DEB">
      <w:pPr>
        <w:overflowPunct w:val="0"/>
        <w:snapToGrid w:val="0"/>
        <w:spacing w:line="460" w:lineRule="exact"/>
        <w:ind w:left="2545" w:hanging="560"/>
        <w:jc w:val="both"/>
        <w:rPr>
          <w:rFonts w:ascii="標楷體" w:eastAsia="標楷體" w:hAnsi="標楷體"/>
          <w:bCs/>
          <w:sz w:val="28"/>
          <w:szCs w:val="28"/>
        </w:rPr>
      </w:pPr>
      <w:r>
        <w:rPr>
          <w:rFonts w:ascii="標楷體" w:eastAsia="標楷體" w:hAnsi="標楷體"/>
          <w:bCs/>
          <w:sz w:val="28"/>
          <w:szCs w:val="28"/>
        </w:rPr>
        <w:t>三、評審會開會時，應</w:t>
      </w:r>
      <w:r>
        <w:rPr>
          <w:rFonts w:ascii="標楷體" w:eastAsia="標楷體" w:hAnsi="標楷體"/>
          <w:bCs/>
          <w:sz w:val="28"/>
          <w:szCs w:val="28"/>
        </w:rPr>
        <w:t>由都發局通知起造人、承造人、監造人、營造業之專任工程人員及受損戶列席說明陳述意見，並得通知鑑定單位派員列席報告。</w:t>
      </w:r>
    </w:p>
    <w:p w:rsidR="00975442" w:rsidRDefault="00B55DEB">
      <w:pPr>
        <w:overflowPunct w:val="0"/>
        <w:snapToGrid w:val="0"/>
        <w:spacing w:line="460" w:lineRule="exact"/>
        <w:ind w:left="2545" w:hanging="560"/>
        <w:jc w:val="both"/>
      </w:pPr>
      <w:r>
        <w:rPr>
          <w:rFonts w:ascii="標楷體" w:eastAsia="標楷體" w:hAnsi="標楷體"/>
          <w:bCs/>
          <w:sz w:val="28"/>
          <w:szCs w:val="28"/>
        </w:rPr>
        <w:t>四、爭議人經通知而拒不出席者，得由評</w:t>
      </w:r>
      <w:r>
        <w:rPr>
          <w:rFonts w:ascii="標楷體" w:eastAsia="標楷體" w:hAnsi="標楷體"/>
          <w:bCs/>
          <w:color w:val="FF0000"/>
          <w:sz w:val="28"/>
          <w:szCs w:val="28"/>
        </w:rPr>
        <w:t>審會</w:t>
      </w:r>
      <w:r>
        <w:rPr>
          <w:rFonts w:ascii="標楷體" w:eastAsia="標楷體" w:hAnsi="標楷體"/>
          <w:bCs/>
          <w:sz w:val="28"/>
          <w:szCs w:val="28"/>
        </w:rPr>
        <w:t>就所提書面資料逕予審</w:t>
      </w:r>
      <w:r>
        <w:rPr>
          <w:rFonts w:ascii="標楷體" w:eastAsia="標楷體" w:hAnsi="標楷體"/>
          <w:bCs/>
          <w:color w:val="FF0000"/>
          <w:sz w:val="28"/>
          <w:szCs w:val="28"/>
        </w:rPr>
        <w:t>議</w:t>
      </w:r>
      <w:r>
        <w:rPr>
          <w:rFonts w:ascii="標楷體" w:eastAsia="標楷體" w:hAnsi="標楷體"/>
          <w:bCs/>
          <w:sz w:val="28"/>
          <w:szCs w:val="28"/>
        </w:rPr>
        <w:t>決議，爭議當事人不得異議。</w:t>
      </w:r>
    </w:p>
    <w:p w:rsidR="00975442" w:rsidRDefault="00B55DEB">
      <w:pPr>
        <w:overflowPunct w:val="0"/>
        <w:snapToGrid w:val="0"/>
        <w:spacing w:line="460" w:lineRule="exact"/>
        <w:ind w:left="2551" w:hanging="566"/>
        <w:jc w:val="both"/>
        <w:rPr>
          <w:rFonts w:ascii="標楷體" w:eastAsia="標楷體" w:hAnsi="標楷體"/>
          <w:bCs/>
          <w:sz w:val="28"/>
          <w:szCs w:val="28"/>
        </w:rPr>
      </w:pPr>
      <w:r>
        <w:rPr>
          <w:rFonts w:ascii="標楷體" w:eastAsia="標楷體" w:hAnsi="標楷體"/>
          <w:bCs/>
          <w:sz w:val="28"/>
          <w:szCs w:val="28"/>
        </w:rPr>
        <w:t>五、爭議事件經評審會認為有必要時，得推請委員組成專案小組再予協調或調查處理，並擬具書面意見提會討論。</w:t>
      </w:r>
    </w:p>
    <w:p w:rsidR="00975442" w:rsidRDefault="00B55DEB">
      <w:pPr>
        <w:overflowPunct w:val="0"/>
        <w:snapToGrid w:val="0"/>
        <w:spacing w:line="460" w:lineRule="exact"/>
        <w:ind w:left="2551" w:hanging="566"/>
        <w:jc w:val="both"/>
      </w:pPr>
      <w:r>
        <w:rPr>
          <w:rFonts w:ascii="標楷體" w:eastAsia="標楷體" w:hAnsi="標楷體"/>
          <w:bCs/>
          <w:sz w:val="28"/>
          <w:szCs w:val="28"/>
        </w:rPr>
        <w:t>六、經評審會協調，雙方未達成協議，且經鑑定安全無虞者，得由評審</w:t>
      </w:r>
      <w:r>
        <w:rPr>
          <w:rFonts w:ascii="標楷體" w:eastAsia="標楷體" w:hAnsi="標楷體"/>
          <w:bCs/>
          <w:color w:val="FF0000"/>
          <w:sz w:val="28"/>
          <w:szCs w:val="28"/>
        </w:rPr>
        <w:t>會決議</w:t>
      </w:r>
      <w:r>
        <w:rPr>
          <w:rFonts w:ascii="標楷體" w:eastAsia="標楷體" w:hAnsi="標楷體"/>
          <w:bCs/>
          <w:sz w:val="28"/>
          <w:szCs w:val="28"/>
        </w:rPr>
        <w:t>依鑑定單位鑑</w:t>
      </w:r>
      <w:r>
        <w:rPr>
          <w:rFonts w:ascii="標楷體" w:eastAsia="標楷體" w:hAnsi="標楷體"/>
          <w:bCs/>
          <w:color w:val="FF0000"/>
          <w:sz w:val="28"/>
          <w:szCs w:val="28"/>
        </w:rPr>
        <w:t>定之</w:t>
      </w:r>
      <w:r>
        <w:rPr>
          <w:rFonts w:ascii="標楷體" w:eastAsia="標楷體" w:hAnsi="標楷體"/>
          <w:bCs/>
          <w:sz w:val="28"/>
          <w:szCs w:val="28"/>
        </w:rPr>
        <w:t>受損房屋</w:t>
      </w:r>
      <w:r>
        <w:rPr>
          <w:rFonts w:ascii="標楷體" w:eastAsia="標楷體" w:hAnsi="標楷體"/>
          <w:bCs/>
          <w:color w:val="FF0000"/>
          <w:sz w:val="28"/>
          <w:szCs w:val="28"/>
        </w:rPr>
        <w:t>所需修復</w:t>
      </w:r>
      <w:r>
        <w:rPr>
          <w:rFonts w:ascii="標楷體" w:eastAsia="標楷體" w:hAnsi="標楷體"/>
          <w:bCs/>
          <w:sz w:val="28"/>
          <w:szCs w:val="28"/>
        </w:rPr>
        <w:t>費用</w:t>
      </w:r>
      <w:r>
        <w:rPr>
          <w:rFonts w:ascii="標楷體" w:eastAsia="標楷體" w:hAnsi="標楷體"/>
          <w:bCs/>
          <w:color w:val="FF0000"/>
          <w:sz w:val="28"/>
          <w:szCs w:val="28"/>
        </w:rPr>
        <w:t>賠償。起造人或承造人</w:t>
      </w:r>
      <w:r>
        <w:rPr>
          <w:rFonts w:ascii="標楷體" w:eastAsia="標楷體" w:hAnsi="標楷體"/>
          <w:bCs/>
          <w:sz w:val="28"/>
          <w:szCs w:val="28"/>
        </w:rPr>
        <w:t>經依損壞鄰房</w:t>
      </w:r>
      <w:r>
        <w:rPr>
          <w:rFonts w:ascii="標楷體" w:eastAsia="標楷體" w:hAnsi="標楷體"/>
          <w:bCs/>
          <w:color w:val="FF0000"/>
          <w:sz w:val="28"/>
          <w:szCs w:val="28"/>
        </w:rPr>
        <w:t>賠</w:t>
      </w:r>
      <w:r>
        <w:rPr>
          <w:rFonts w:ascii="標楷體" w:eastAsia="標楷體" w:hAnsi="標楷體"/>
          <w:bCs/>
          <w:sz w:val="28"/>
          <w:szCs w:val="28"/>
        </w:rPr>
        <w:t>償費用提存法院數額表</w:t>
      </w:r>
      <w:r>
        <w:rPr>
          <w:rFonts w:ascii="標楷體" w:eastAsia="標楷體" w:hAnsi="標楷體"/>
          <w:bCs/>
          <w:sz w:val="28"/>
          <w:szCs w:val="28"/>
        </w:rPr>
        <w:t>(</w:t>
      </w:r>
      <w:r>
        <w:rPr>
          <w:rFonts w:ascii="標楷體" w:eastAsia="標楷體" w:hAnsi="標楷體"/>
          <w:bCs/>
          <w:sz w:val="28"/>
          <w:szCs w:val="28"/>
        </w:rPr>
        <w:t>如附表</w:t>
      </w:r>
      <w:r>
        <w:rPr>
          <w:rFonts w:ascii="標楷體" w:eastAsia="標楷體" w:hAnsi="標楷體"/>
          <w:bCs/>
          <w:sz w:val="28"/>
          <w:szCs w:val="28"/>
        </w:rPr>
        <w:t>)</w:t>
      </w:r>
      <w:r>
        <w:rPr>
          <w:rFonts w:ascii="標楷體" w:eastAsia="標楷體" w:hAnsi="標楷體"/>
          <w:bCs/>
          <w:sz w:val="28"/>
          <w:szCs w:val="28"/>
        </w:rPr>
        <w:t>分段累計確定數額後，以受損戶名義提存於</w:t>
      </w:r>
      <w:r>
        <w:rPr>
          <w:rFonts w:ascii="標楷體" w:eastAsia="標楷體" w:hAnsi="標楷體"/>
          <w:bCs/>
          <w:sz w:val="28"/>
          <w:szCs w:val="28"/>
        </w:rPr>
        <w:t>法院，</w:t>
      </w:r>
      <w:r>
        <w:rPr>
          <w:rFonts w:ascii="標楷體" w:eastAsia="標楷體" w:hAnsi="標楷體"/>
          <w:bCs/>
          <w:color w:val="FF0000"/>
          <w:sz w:val="28"/>
          <w:szCs w:val="28"/>
        </w:rPr>
        <w:t>得</w:t>
      </w:r>
      <w:r>
        <w:rPr>
          <w:rFonts w:ascii="標楷體" w:eastAsia="標楷體" w:hAnsi="標楷體"/>
          <w:bCs/>
          <w:sz w:val="28"/>
          <w:szCs w:val="28"/>
        </w:rPr>
        <w:t>向主管機關申請</w:t>
      </w:r>
      <w:r>
        <w:rPr>
          <w:rFonts w:ascii="標楷體" w:eastAsia="標楷體" w:hAnsi="標楷體"/>
          <w:bCs/>
          <w:color w:val="FF0000"/>
          <w:sz w:val="28"/>
          <w:szCs w:val="28"/>
        </w:rPr>
        <w:t>解除</w:t>
      </w:r>
      <w:r>
        <w:rPr>
          <w:rFonts w:ascii="標楷體" w:eastAsia="標楷體" w:hAnsi="標楷體"/>
          <w:bCs/>
          <w:sz w:val="28"/>
          <w:szCs w:val="28"/>
        </w:rPr>
        <w:t>列管</w:t>
      </w:r>
      <w:r>
        <w:rPr>
          <w:rFonts w:ascii="標楷體" w:eastAsia="標楷體" w:hAnsi="標楷體"/>
          <w:bCs/>
          <w:color w:val="FF0000"/>
          <w:sz w:val="28"/>
          <w:szCs w:val="28"/>
        </w:rPr>
        <w:t>；</w:t>
      </w:r>
      <w:r>
        <w:rPr>
          <w:rFonts w:ascii="標楷體" w:eastAsia="標楷體" w:hAnsi="標楷體"/>
          <w:bCs/>
          <w:sz w:val="28"/>
          <w:szCs w:val="28"/>
        </w:rPr>
        <w:t>受損戶如有爭議</w:t>
      </w:r>
      <w:r>
        <w:rPr>
          <w:rFonts w:ascii="標楷體" w:eastAsia="標楷體" w:hAnsi="標楷體"/>
          <w:bCs/>
          <w:color w:val="FF0000"/>
          <w:sz w:val="28"/>
          <w:szCs w:val="28"/>
        </w:rPr>
        <w:t>，</w:t>
      </w:r>
      <w:r>
        <w:rPr>
          <w:rFonts w:ascii="標楷體" w:eastAsia="標楷體" w:hAnsi="標楷體"/>
          <w:bCs/>
          <w:sz w:val="28"/>
          <w:szCs w:val="28"/>
        </w:rPr>
        <w:t>應循司法途徑解決。</w:t>
      </w:r>
    </w:p>
    <w:p w:rsidR="00975442" w:rsidRDefault="00B55DEB">
      <w:pPr>
        <w:overflowPunct w:val="0"/>
        <w:spacing w:line="460" w:lineRule="exact"/>
        <w:ind w:left="1417" w:hanging="1417"/>
        <w:jc w:val="both"/>
      </w:pPr>
      <w:r>
        <w:rPr>
          <w:rFonts w:ascii="標楷體" w:eastAsia="標楷體" w:hAnsi="標楷體"/>
          <w:sz w:val="28"/>
          <w:szCs w:val="28"/>
        </w:rPr>
        <w:t>第三十四條　　經列管</w:t>
      </w:r>
      <w:r>
        <w:rPr>
          <w:rFonts w:ascii="標楷體" w:eastAsia="標楷體" w:hAnsi="標楷體"/>
          <w:color w:val="FF0000"/>
          <w:sz w:val="28"/>
          <w:szCs w:val="28"/>
        </w:rPr>
        <w:t>之施工損鄰事件</w:t>
      </w:r>
      <w:r>
        <w:rPr>
          <w:rFonts w:ascii="標楷體" w:eastAsia="標楷體" w:hAnsi="標楷體"/>
          <w:sz w:val="28"/>
          <w:szCs w:val="28"/>
        </w:rPr>
        <w:t>，應</w:t>
      </w:r>
      <w:r>
        <w:rPr>
          <w:rFonts w:ascii="標楷體" w:eastAsia="標楷體" w:hAnsi="標楷體"/>
          <w:color w:val="FF0000"/>
          <w:sz w:val="28"/>
          <w:szCs w:val="28"/>
        </w:rPr>
        <w:t>載明</w:t>
      </w:r>
      <w:r>
        <w:rPr>
          <w:rFonts w:ascii="標楷體" w:eastAsia="標楷體" w:hAnsi="標楷體"/>
          <w:sz w:val="28"/>
          <w:szCs w:val="28"/>
        </w:rPr>
        <w:t>於</w:t>
      </w:r>
      <w:r>
        <w:rPr>
          <w:rFonts w:ascii="標楷體" w:eastAsia="標楷體" w:hAnsi="標楷體"/>
          <w:color w:val="FF0000"/>
          <w:sz w:val="28"/>
          <w:szCs w:val="28"/>
        </w:rPr>
        <w:t>該建築工程之</w:t>
      </w:r>
      <w:r>
        <w:rPr>
          <w:rFonts w:ascii="標楷體" w:eastAsia="標楷體" w:hAnsi="標楷體"/>
          <w:sz w:val="28"/>
          <w:szCs w:val="28"/>
        </w:rPr>
        <w:t>建造執照或拆除執照檔案備註欄，並暫緩核發使用執照或拆除竣工證明。</w:t>
      </w:r>
    </w:p>
    <w:p w:rsidR="00975442" w:rsidRDefault="00B55DEB">
      <w:pPr>
        <w:overflowPunct w:val="0"/>
        <w:spacing w:line="460" w:lineRule="exact"/>
        <w:ind w:left="1440" w:firstLine="560"/>
        <w:jc w:val="both"/>
      </w:pPr>
      <w:r>
        <w:rPr>
          <w:rFonts w:ascii="標楷體" w:eastAsia="標楷體" w:hAnsi="標楷體"/>
          <w:sz w:val="28"/>
          <w:szCs w:val="28"/>
        </w:rPr>
        <w:t>有下列情形之一者，</w:t>
      </w:r>
      <w:r>
        <w:rPr>
          <w:rFonts w:ascii="標楷體" w:eastAsia="標楷體" w:hAnsi="標楷體"/>
          <w:color w:val="FF0000"/>
          <w:sz w:val="28"/>
          <w:szCs w:val="28"/>
        </w:rPr>
        <w:t>得</w:t>
      </w:r>
      <w:r>
        <w:rPr>
          <w:rFonts w:ascii="標楷體" w:eastAsia="標楷體" w:hAnsi="標楷體"/>
          <w:sz w:val="28"/>
          <w:szCs w:val="28"/>
        </w:rPr>
        <w:t>解除</w:t>
      </w:r>
      <w:r>
        <w:rPr>
          <w:rFonts w:ascii="標楷體" w:eastAsia="標楷體" w:hAnsi="標楷體"/>
          <w:color w:val="FF0000"/>
          <w:sz w:val="28"/>
          <w:szCs w:val="28"/>
        </w:rPr>
        <w:t>列管</w:t>
      </w:r>
      <w:r>
        <w:rPr>
          <w:rFonts w:ascii="標楷體" w:eastAsia="標楷體" w:hAnsi="標楷體"/>
          <w:bCs/>
          <w:sz w:val="28"/>
          <w:szCs w:val="28"/>
        </w:rPr>
        <w:t>：</w:t>
      </w:r>
    </w:p>
    <w:p w:rsidR="00975442" w:rsidRDefault="00B55DEB">
      <w:pPr>
        <w:overflowPunct w:val="0"/>
        <w:snapToGrid w:val="0"/>
        <w:spacing w:line="460" w:lineRule="exact"/>
        <w:ind w:left="2600" w:hanging="560"/>
        <w:jc w:val="both"/>
      </w:pPr>
      <w:r>
        <w:rPr>
          <w:rFonts w:ascii="標楷體" w:eastAsia="標楷體" w:hAnsi="標楷體"/>
          <w:bCs/>
          <w:sz w:val="28"/>
          <w:szCs w:val="28"/>
        </w:rPr>
        <w:t>一、起造人或承造人依評審會</w:t>
      </w:r>
      <w:r>
        <w:rPr>
          <w:rFonts w:ascii="標楷體" w:eastAsia="標楷體" w:hAnsi="標楷體"/>
          <w:bCs/>
          <w:color w:val="FF0000"/>
          <w:sz w:val="28"/>
          <w:szCs w:val="28"/>
        </w:rPr>
        <w:t>決議</w:t>
      </w:r>
      <w:r>
        <w:rPr>
          <w:rFonts w:ascii="標楷體" w:eastAsia="標楷體" w:hAnsi="標楷體"/>
          <w:bCs/>
          <w:sz w:val="28"/>
          <w:szCs w:val="28"/>
        </w:rPr>
        <w:t>之賠償費用，以受損戶為受擔保利益人或受清償人向法院提存。</w:t>
      </w:r>
    </w:p>
    <w:p w:rsidR="00975442" w:rsidRDefault="00B55DEB">
      <w:pPr>
        <w:overflowPunct w:val="0"/>
        <w:snapToGrid w:val="0"/>
        <w:spacing w:line="460" w:lineRule="exact"/>
        <w:ind w:left="2600" w:hanging="560"/>
        <w:jc w:val="both"/>
      </w:pPr>
      <w:r>
        <w:rPr>
          <w:rFonts w:ascii="標楷體" w:eastAsia="標楷體" w:hAnsi="標楷體"/>
          <w:bCs/>
          <w:sz w:val="28"/>
          <w:szCs w:val="28"/>
        </w:rPr>
        <w:t>二、經評</w:t>
      </w:r>
      <w:r>
        <w:rPr>
          <w:rFonts w:ascii="標楷體" w:eastAsia="標楷體" w:hAnsi="標楷體"/>
          <w:bCs/>
          <w:color w:val="FF0000"/>
          <w:sz w:val="28"/>
          <w:szCs w:val="28"/>
        </w:rPr>
        <w:t>審會</w:t>
      </w:r>
      <w:r>
        <w:rPr>
          <w:rFonts w:ascii="標楷體" w:eastAsia="標楷體" w:hAnsi="標楷體"/>
          <w:bCs/>
          <w:sz w:val="28"/>
          <w:szCs w:val="28"/>
        </w:rPr>
        <w:t>決議不負賠償責任。</w:t>
      </w:r>
    </w:p>
    <w:p w:rsidR="00975442" w:rsidRDefault="00B55DEB">
      <w:pPr>
        <w:overflowPunct w:val="0"/>
        <w:snapToGrid w:val="0"/>
        <w:spacing w:line="460" w:lineRule="exact"/>
        <w:ind w:left="2600" w:hanging="560"/>
        <w:jc w:val="both"/>
      </w:pPr>
      <w:r>
        <w:rPr>
          <w:rFonts w:ascii="標楷體" w:eastAsia="標楷體" w:hAnsi="標楷體"/>
          <w:bCs/>
          <w:sz w:val="28"/>
          <w:szCs w:val="28"/>
        </w:rPr>
        <w:t>三、</w:t>
      </w:r>
      <w:r>
        <w:rPr>
          <w:rFonts w:ascii="標楷體" w:eastAsia="標楷體" w:hAnsi="標楷體"/>
          <w:bCs/>
          <w:color w:val="FF0000"/>
          <w:sz w:val="28"/>
          <w:szCs w:val="28"/>
        </w:rPr>
        <w:t>起造人或承造人</w:t>
      </w:r>
      <w:r>
        <w:rPr>
          <w:rFonts w:ascii="標楷體" w:eastAsia="標楷體" w:hAnsi="標楷體"/>
          <w:bCs/>
          <w:sz w:val="28"/>
          <w:szCs w:val="28"/>
        </w:rPr>
        <w:t>已履行賠償責任。</w:t>
      </w:r>
    </w:p>
    <w:p w:rsidR="00975442" w:rsidRDefault="00B55DEB">
      <w:pPr>
        <w:overflowPunct w:val="0"/>
        <w:snapToGrid w:val="0"/>
        <w:spacing w:line="460" w:lineRule="exact"/>
        <w:ind w:left="2600" w:hanging="560"/>
        <w:jc w:val="both"/>
      </w:pPr>
      <w:r>
        <w:rPr>
          <w:rFonts w:ascii="標楷體" w:eastAsia="標楷體" w:hAnsi="標楷體"/>
          <w:bCs/>
          <w:sz w:val="28"/>
          <w:szCs w:val="28"/>
        </w:rPr>
        <w:t>四、依第三十一條第二項第二款不予受理申請審</w:t>
      </w:r>
      <w:r>
        <w:rPr>
          <w:rFonts w:ascii="標楷體" w:eastAsia="標楷體" w:hAnsi="標楷體"/>
          <w:bCs/>
          <w:color w:val="FF0000"/>
          <w:sz w:val="28"/>
          <w:szCs w:val="28"/>
        </w:rPr>
        <w:t>議</w:t>
      </w:r>
      <w:r>
        <w:rPr>
          <w:rFonts w:ascii="標楷體" w:eastAsia="標楷體" w:hAnsi="標楷體"/>
          <w:bCs/>
          <w:sz w:val="28"/>
          <w:szCs w:val="28"/>
        </w:rPr>
        <w:t>。</w:t>
      </w:r>
    </w:p>
    <w:p w:rsidR="00975442" w:rsidRDefault="00B55DEB">
      <w:pPr>
        <w:overflowPunct w:val="0"/>
        <w:snapToGrid w:val="0"/>
        <w:spacing w:line="460" w:lineRule="exact"/>
        <w:ind w:left="2600" w:hanging="560"/>
        <w:jc w:val="both"/>
        <w:rPr>
          <w:rFonts w:ascii="標楷體" w:eastAsia="標楷體" w:hAnsi="標楷體"/>
          <w:bCs/>
          <w:color w:val="FF0000"/>
          <w:sz w:val="28"/>
          <w:szCs w:val="28"/>
        </w:rPr>
      </w:pPr>
      <w:r>
        <w:rPr>
          <w:rFonts w:ascii="標楷體" w:eastAsia="標楷體" w:hAnsi="標楷體"/>
          <w:bCs/>
          <w:color w:val="FF0000"/>
          <w:sz w:val="28"/>
          <w:szCs w:val="28"/>
        </w:rPr>
        <w:t>五、爭議雙方已循司法途徑解決，且起造人或承造人業以結構安全鑑定報告修復金額，依損壞鄰房賠償費</w:t>
      </w:r>
      <w:r>
        <w:rPr>
          <w:rFonts w:ascii="標楷體" w:eastAsia="標楷體" w:hAnsi="標楷體"/>
          <w:bCs/>
          <w:color w:val="FF0000"/>
          <w:sz w:val="28"/>
          <w:szCs w:val="28"/>
        </w:rPr>
        <w:lastRenderedPageBreak/>
        <w:t>用提存法院數額表規定比例計算後提存。</w:t>
      </w:r>
    </w:p>
    <w:p w:rsidR="00975442" w:rsidRDefault="00B55DEB">
      <w:pPr>
        <w:overflowPunct w:val="0"/>
        <w:snapToGrid w:val="0"/>
        <w:spacing w:line="460" w:lineRule="exact"/>
        <w:ind w:left="1440" w:firstLine="560"/>
        <w:jc w:val="both"/>
        <w:rPr>
          <w:rFonts w:ascii="標楷體" w:eastAsia="標楷體" w:hAnsi="標楷體"/>
          <w:bCs/>
          <w:color w:val="FF0000"/>
          <w:sz w:val="28"/>
          <w:szCs w:val="28"/>
        </w:rPr>
      </w:pPr>
      <w:bookmarkStart w:id="5" w:name="_Hlk522172244"/>
      <w:r>
        <w:rPr>
          <w:rFonts w:ascii="標楷體" w:eastAsia="標楷體" w:hAnsi="標楷體"/>
          <w:bCs/>
          <w:color w:val="FF0000"/>
          <w:sz w:val="28"/>
          <w:szCs w:val="28"/>
        </w:rPr>
        <w:t>損鄰事件調解成立或爭議雙方已循司法途徑解決者，再申請建築爭議事件審議，不予受理。</w:t>
      </w:r>
    </w:p>
    <w:p w:rsidR="00975442" w:rsidRDefault="00B55DEB">
      <w:pPr>
        <w:overflowPunct w:val="0"/>
        <w:snapToGrid w:val="0"/>
        <w:spacing w:line="460" w:lineRule="exact"/>
        <w:ind w:left="1440" w:firstLine="560"/>
        <w:jc w:val="both"/>
        <w:rPr>
          <w:rFonts w:ascii="標楷體" w:eastAsia="標楷體" w:hAnsi="標楷體"/>
          <w:bCs/>
          <w:color w:val="FF0000"/>
          <w:sz w:val="28"/>
          <w:szCs w:val="28"/>
        </w:rPr>
      </w:pPr>
      <w:r>
        <w:rPr>
          <w:rFonts w:ascii="標楷體" w:eastAsia="標楷體" w:hAnsi="標楷體"/>
          <w:bCs/>
          <w:color w:val="FF0000"/>
          <w:sz w:val="28"/>
          <w:szCs w:val="28"/>
        </w:rPr>
        <w:t>審議程序進行中，雙方另循司法途徑解決時，都發局得停止審議程序。</w:t>
      </w:r>
      <w:bookmarkEnd w:id="5"/>
    </w:p>
    <w:p w:rsidR="00975442" w:rsidRDefault="00B55DEB">
      <w:pPr>
        <w:pStyle w:val="ac"/>
        <w:snapToGrid w:val="0"/>
        <w:spacing w:line="460" w:lineRule="exact"/>
        <w:ind w:left="1400" w:hanging="1400"/>
      </w:pPr>
      <w:r>
        <w:rPr>
          <w:color w:val="auto"/>
          <w:sz w:val="28"/>
          <w:szCs w:val="28"/>
        </w:rPr>
        <w:t xml:space="preserve">第四十一條　　</w:t>
      </w:r>
      <w:r>
        <w:rPr>
          <w:bCs/>
          <w:color w:val="auto"/>
          <w:sz w:val="28"/>
          <w:szCs w:val="28"/>
        </w:rPr>
        <w:t>本辦法所需書表格式，除其他法令</w:t>
      </w:r>
      <w:r>
        <w:rPr>
          <w:bCs/>
          <w:color w:val="FF0000"/>
          <w:sz w:val="28"/>
          <w:szCs w:val="28"/>
        </w:rPr>
        <w:t>另</w:t>
      </w:r>
      <w:r>
        <w:rPr>
          <w:bCs/>
          <w:color w:val="auto"/>
          <w:sz w:val="28"/>
          <w:szCs w:val="28"/>
        </w:rPr>
        <w:t>有規定者外，由都發局定之</w:t>
      </w:r>
      <w:bookmarkStart w:id="6" w:name="_Hlk522172325"/>
      <w:r>
        <w:rPr>
          <w:bCs/>
          <w:color w:val="auto"/>
          <w:sz w:val="28"/>
          <w:szCs w:val="28"/>
        </w:rPr>
        <w:t>。</w:t>
      </w:r>
    </w:p>
    <w:bookmarkEnd w:id="6"/>
    <w:p w:rsidR="00975442" w:rsidRDefault="00B55DEB">
      <w:pPr>
        <w:pStyle w:val="ac"/>
        <w:snapToGrid w:val="0"/>
        <w:spacing w:line="460" w:lineRule="exact"/>
        <w:ind w:left="1399" w:firstLine="582"/>
      </w:pPr>
      <w:r>
        <w:rPr>
          <w:bCs/>
          <w:color w:val="FF0000"/>
          <w:sz w:val="28"/>
          <w:szCs w:val="28"/>
        </w:rPr>
        <w:t>依本辦法應向都發局申報之書表，得以網路</w:t>
      </w:r>
      <w:r>
        <w:rPr>
          <w:bCs/>
          <w:color w:val="FF0000"/>
          <w:sz w:val="28"/>
          <w:szCs w:val="28"/>
        </w:rPr>
        <w:t>(</w:t>
      </w:r>
      <w:r>
        <w:rPr>
          <w:bCs/>
          <w:color w:val="FF0000"/>
          <w:sz w:val="28"/>
          <w:szCs w:val="28"/>
        </w:rPr>
        <w:t>電子化</w:t>
      </w:r>
      <w:r>
        <w:rPr>
          <w:bCs/>
          <w:color w:val="FF0000"/>
          <w:sz w:val="28"/>
          <w:szCs w:val="28"/>
        </w:rPr>
        <w:t>)</w:t>
      </w:r>
      <w:r>
        <w:rPr>
          <w:bCs/>
          <w:color w:val="FF0000"/>
          <w:sz w:val="28"/>
          <w:szCs w:val="28"/>
        </w:rPr>
        <w:t>方式申報，並以電子檔案歸檔。</w:t>
      </w:r>
    </w:p>
    <w:sectPr w:rsidR="00975442">
      <w:footerReference w:type="default" r:id="rId6"/>
      <w:pgSz w:w="11907" w:h="16840"/>
      <w:pgMar w:top="1418" w:right="1418" w:bottom="1418" w:left="170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5DEB" w:rsidRDefault="00B55DEB">
      <w:r>
        <w:separator/>
      </w:r>
    </w:p>
  </w:endnote>
  <w:endnote w:type="continuationSeparator" w:id="0">
    <w:p w:rsidR="00B55DEB" w:rsidRDefault="00B55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367C" w:rsidRDefault="00B55DEB">
    <w:pPr>
      <w:pStyle w:val="a4"/>
      <w:jc w:val="center"/>
    </w:pPr>
    <w:r>
      <w:rPr>
        <w:lang w:val="zh-TW"/>
      </w:rPr>
      <w:fldChar w:fldCharType="begin"/>
    </w:r>
    <w:r>
      <w:rPr>
        <w:lang w:val="zh-TW"/>
      </w:rPr>
      <w:instrText xml:space="preserve"> PAGE </w:instrText>
    </w:r>
    <w:r>
      <w:rPr>
        <w:lang w:val="zh-TW"/>
      </w:rPr>
      <w:fldChar w:fldCharType="separate"/>
    </w:r>
    <w:r w:rsidR="009C4BA4">
      <w:rPr>
        <w:noProof/>
        <w:lang w:val="zh-TW"/>
      </w:rPr>
      <w:t>3</w:t>
    </w:r>
    <w:r>
      <w:rPr>
        <w:lang w:val="zh-TW"/>
      </w:rPr>
      <w:fldChar w:fldCharType="end"/>
    </w:r>
  </w:p>
  <w:p w:rsidR="00CC367C" w:rsidRDefault="00B55DE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5DEB" w:rsidRDefault="00B55DEB">
      <w:r>
        <w:rPr>
          <w:color w:val="000000"/>
        </w:rPr>
        <w:separator/>
      </w:r>
    </w:p>
  </w:footnote>
  <w:footnote w:type="continuationSeparator" w:id="0">
    <w:p w:rsidR="00B55DEB" w:rsidRDefault="00B55D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454"/>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975442"/>
    <w:rsid w:val="00975442"/>
    <w:rsid w:val="009C4BA4"/>
    <w:rsid w:val="00B55D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1F0FF5-E253-479B-90ED-E3EB7F2DA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rPr>
  </w:style>
  <w:style w:type="paragraph" w:styleId="1">
    <w:name w:val="heading 1"/>
    <w:basedOn w:val="a"/>
    <w:next w:val="a"/>
    <w:pPr>
      <w:keepNext/>
      <w:jc w:val="both"/>
      <w:outlineLvl w:val="0"/>
    </w:pPr>
    <w:rPr>
      <w:rFonts w:eastAsia="標楷體"/>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120"/>
    </w:pPr>
    <w:rPr>
      <w:sz w:val="28"/>
    </w:rPr>
  </w:style>
  <w:style w:type="paragraph" w:styleId="2">
    <w:name w:val="Body Text Indent 2"/>
    <w:basedOn w:val="a"/>
    <w:pPr>
      <w:ind w:left="240"/>
    </w:pPr>
    <w:rPr>
      <w:sz w:val="28"/>
    </w:rPr>
  </w:style>
  <w:style w:type="paragraph" w:styleId="a4">
    <w:name w:val="footer"/>
    <w:basedOn w:val="a"/>
    <w:pPr>
      <w:tabs>
        <w:tab w:val="center" w:pos="4153"/>
        <w:tab w:val="right" w:pos="8306"/>
      </w:tabs>
      <w:snapToGrid w:val="0"/>
    </w:pPr>
    <w:rPr>
      <w:sz w:val="20"/>
    </w:rPr>
  </w:style>
  <w:style w:type="character" w:customStyle="1" w:styleId="10">
    <w:name w:val="頁尾 字元1"/>
    <w:rPr>
      <w:rFonts w:eastAsia="新細明體"/>
      <w:kern w:val="3"/>
      <w:lang w:val="en-US" w:eastAsia="zh-TW" w:bidi="ar-SA"/>
    </w:rPr>
  </w:style>
  <w:style w:type="character" w:styleId="a5">
    <w:name w:val="page number"/>
    <w:basedOn w:val="a0"/>
  </w:style>
  <w:style w:type="paragraph" w:styleId="3">
    <w:name w:val="Body Text Indent 3"/>
    <w:basedOn w:val="a"/>
    <w:pPr>
      <w:ind w:left="720" w:hanging="720"/>
      <w:jc w:val="both"/>
    </w:pPr>
  </w:style>
  <w:style w:type="paragraph" w:customStyle="1" w:styleId="a6">
    <w:name w:val="文三"/>
    <w:basedOn w:val="a"/>
    <w:pPr>
      <w:snapToGrid w:val="0"/>
      <w:spacing w:line="400" w:lineRule="atLeast"/>
      <w:ind w:left="3408" w:hanging="2208"/>
      <w:jc w:val="both"/>
    </w:pPr>
    <w:rPr>
      <w:rFonts w:ascii="標楷體" w:eastAsia="標楷體" w:hAnsi="標楷體"/>
      <w:sz w:val="32"/>
      <w:szCs w:val="24"/>
    </w:rPr>
  </w:style>
  <w:style w:type="paragraph" w:styleId="a7">
    <w:name w:val="Body Text"/>
    <w:basedOn w:val="a"/>
    <w:rPr>
      <w:rFonts w:ascii="標楷體" w:eastAsia="標楷體" w:hAnsi="標楷體"/>
      <w:b/>
      <w:bCs/>
      <w:color w:val="993366"/>
      <w:sz w:val="20"/>
      <w:u w:val="single"/>
    </w:rPr>
  </w:style>
  <w:style w:type="paragraph" w:styleId="20">
    <w:name w:val="Body Text 2"/>
    <w:basedOn w:val="a"/>
    <w:pPr>
      <w:spacing w:line="0" w:lineRule="atLeast"/>
      <w:jc w:val="both"/>
    </w:pPr>
    <w:rPr>
      <w:rFonts w:ascii="標楷體" w:eastAsia="標楷體" w:hAnsi="標楷體"/>
      <w:sz w:val="20"/>
    </w:rPr>
  </w:style>
  <w:style w:type="paragraph" w:styleId="a8">
    <w:name w:val="header"/>
    <w:basedOn w:val="a"/>
    <w:pPr>
      <w:tabs>
        <w:tab w:val="center" w:pos="4153"/>
        <w:tab w:val="right" w:pos="8306"/>
      </w:tabs>
      <w:snapToGrid w:val="0"/>
    </w:pPr>
    <w:rPr>
      <w:sz w:val="20"/>
    </w:rPr>
  </w:style>
  <w:style w:type="character" w:styleId="a9">
    <w:name w:val="Strong"/>
    <w:rPr>
      <w:b/>
      <w:bCs/>
    </w:rPr>
  </w:style>
  <w:style w:type="paragraph" w:styleId="aa">
    <w:name w:val="Plain Text"/>
    <w:basedOn w:val="a"/>
    <w:rPr>
      <w:rFonts w:ascii="細明體" w:eastAsia="細明體" w:hAnsi="細明體"/>
    </w:rPr>
  </w:style>
  <w:style w:type="character" w:customStyle="1" w:styleId="11">
    <w:name w:val="純文字 字元1"/>
    <w:rPr>
      <w:rFonts w:ascii="細明體" w:eastAsia="細明體" w:hAnsi="細明體"/>
      <w:kern w:val="3"/>
      <w:sz w:val="24"/>
      <w:lang w:bidi="ar-SA"/>
    </w:rPr>
  </w:style>
  <w:style w:type="character" w:customStyle="1" w:styleId="ab">
    <w:name w:val="純文字 字元"/>
    <w:rPr>
      <w:rFonts w:ascii="細明體" w:eastAsia="細明體" w:hAnsi="細明體"/>
      <w:kern w:val="3"/>
      <w:sz w:val="24"/>
    </w:rPr>
  </w:style>
  <w:style w:type="paragraph" w:customStyle="1" w:styleId="ac">
    <w:name w:val="草案條文"/>
    <w:basedOn w:val="a"/>
    <w:pPr>
      <w:ind w:left="283" w:hanging="283"/>
      <w:jc w:val="both"/>
    </w:pPr>
    <w:rPr>
      <w:rFonts w:ascii="標楷體" w:eastAsia="標楷體" w:hAnsi="標楷體"/>
      <w:color w:val="000000"/>
      <w:szCs w:val="24"/>
    </w:rPr>
  </w:style>
  <w:style w:type="paragraph" w:styleId="Web">
    <w:name w:val="Normal (Web)"/>
    <w:basedOn w:val="a"/>
    <w:pPr>
      <w:widowControl/>
      <w:spacing w:before="100" w:after="100"/>
    </w:pPr>
    <w:rPr>
      <w:rFonts w:ascii="新細明體" w:hAnsi="新細明體" w:cs="新細明體"/>
      <w:kern w:val="0"/>
      <w:szCs w:val="24"/>
    </w:rPr>
  </w:style>
  <w:style w:type="paragraph" w:styleId="ad">
    <w:name w:val="Balloon Text"/>
    <w:basedOn w:val="a"/>
    <w:rPr>
      <w:rFonts w:ascii="Cambria" w:hAnsi="Cambria"/>
      <w:sz w:val="18"/>
      <w:szCs w:val="18"/>
    </w:rPr>
  </w:style>
  <w:style w:type="character" w:customStyle="1" w:styleId="12">
    <w:name w:val="註解方塊文字 字元1"/>
    <w:rPr>
      <w:rFonts w:ascii="Cambria" w:eastAsia="新細明體" w:hAnsi="Cambria"/>
      <w:kern w:val="3"/>
      <w:sz w:val="18"/>
      <w:szCs w:val="18"/>
      <w:lang w:bidi="ar-SA"/>
    </w:rPr>
  </w:style>
  <w:style w:type="character" w:customStyle="1" w:styleId="ae">
    <w:name w:val="註解方塊文字 字元"/>
    <w:rPr>
      <w:rFonts w:ascii="Cambria" w:eastAsia="新細明體" w:hAnsi="Cambria" w:cs="Times New Roman"/>
      <w:kern w:val="3"/>
      <w:sz w:val="18"/>
      <w:szCs w:val="18"/>
    </w:rPr>
  </w:style>
  <w:style w:type="character" w:customStyle="1" w:styleId="af">
    <w:name w:val="頁尾 字元"/>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504</Words>
  <Characters>2879</Characters>
  <Application>Microsoft Office Word</Application>
  <DocSecurity>0</DocSecurity>
  <Lines>23</Lines>
  <Paragraphs>6</Paragraphs>
  <ScaleCrop>false</ScaleCrop>
  <Company/>
  <LinksUpToDate>false</LinksUpToDate>
  <CharactersWithSpaces>3377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subject/>
  <dc:creator>a</dc:creator>
  <dc:description/>
  <cp:lastModifiedBy>施右容</cp:lastModifiedBy>
  <cp:revision>2</cp:revision>
  <cp:lastPrinted>2018-10-23T02:48:00Z</cp:lastPrinted>
  <dcterms:created xsi:type="dcterms:W3CDTF">2019-07-15T08:26:00Z</dcterms:created>
  <dcterms:modified xsi:type="dcterms:W3CDTF">2019-07-15T08:26:00Z</dcterms:modified>
</cp:coreProperties>
</file>