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F42" w:rsidRDefault="00260D5E" w:rsidP="00FA5902">
      <w:pPr>
        <w:jc w:val="both"/>
        <w:rPr>
          <w:rFonts w:ascii="標楷體" w:eastAsia="標楷體" w:hAnsi="標楷體"/>
          <w:b/>
          <w:sz w:val="40"/>
          <w:szCs w:val="40"/>
        </w:rPr>
      </w:pPr>
      <w:r w:rsidRPr="00260D5E">
        <w:rPr>
          <w:rFonts w:ascii="標楷體" w:eastAsia="標楷體" w:hAnsi="標楷體" w:hint="eastAsia"/>
          <w:b/>
          <w:sz w:val="40"/>
          <w:szCs w:val="40"/>
        </w:rPr>
        <w:t>臺中市政府地政局</w:t>
      </w:r>
      <w:r w:rsidR="00193EE0">
        <w:rPr>
          <w:rFonts w:ascii="標楷體" w:eastAsia="標楷體" w:hAnsi="標楷體" w:hint="eastAsia"/>
          <w:b/>
          <w:sz w:val="40"/>
          <w:szCs w:val="40"/>
        </w:rPr>
        <w:t>辦理</w:t>
      </w:r>
      <w:r w:rsidRPr="00260D5E">
        <w:rPr>
          <w:rFonts w:ascii="標楷體" w:eastAsia="標楷體" w:hAnsi="標楷體" w:hint="eastAsia"/>
          <w:b/>
          <w:sz w:val="40"/>
          <w:szCs w:val="40"/>
        </w:rPr>
        <w:t>繁榮街道路線價區段宗地單位地價計算原則</w:t>
      </w:r>
      <w:r w:rsidR="009244C9" w:rsidRPr="002169AE">
        <w:rPr>
          <w:rFonts w:ascii="標楷體" w:eastAsia="標楷體" w:hAnsi="標楷體" w:hint="eastAsia"/>
          <w:b/>
          <w:sz w:val="40"/>
          <w:szCs w:val="40"/>
        </w:rPr>
        <w:t>修正</w:t>
      </w:r>
      <w:r w:rsidR="002169AE" w:rsidRPr="002169AE">
        <w:rPr>
          <w:rFonts w:ascii="標楷體" w:eastAsia="標楷體" w:hAnsi="標楷體" w:hint="eastAsia"/>
          <w:b/>
          <w:sz w:val="40"/>
          <w:szCs w:val="40"/>
        </w:rPr>
        <w:t>第五點</w:t>
      </w:r>
      <w:r w:rsidR="009244C9">
        <w:rPr>
          <w:rFonts w:ascii="標楷體" w:eastAsia="標楷體" w:hAnsi="標楷體" w:hint="eastAsia"/>
          <w:b/>
          <w:sz w:val="40"/>
          <w:szCs w:val="40"/>
        </w:rPr>
        <w:t>及新增第六點</w:t>
      </w:r>
      <w:r w:rsidR="002169AE">
        <w:rPr>
          <w:rFonts w:ascii="標楷體" w:eastAsia="標楷體" w:hAnsi="標楷體" w:hint="eastAsia"/>
          <w:b/>
          <w:sz w:val="40"/>
          <w:szCs w:val="40"/>
        </w:rPr>
        <w:t>總</w:t>
      </w:r>
      <w:r w:rsidR="002169AE" w:rsidRPr="002169AE">
        <w:rPr>
          <w:rFonts w:ascii="標楷體" w:eastAsia="標楷體" w:hAnsi="標楷體" w:hint="eastAsia"/>
          <w:b/>
          <w:sz w:val="40"/>
          <w:szCs w:val="40"/>
        </w:rPr>
        <w:t>說明</w:t>
      </w:r>
    </w:p>
    <w:p w:rsidR="006106F1" w:rsidRDefault="004C4B29" w:rsidP="00815878">
      <w:pPr>
        <w:spacing w:line="460" w:lineRule="exact"/>
        <w:ind w:firstLineChars="200" w:firstLine="560"/>
        <w:jc w:val="both"/>
        <w:rPr>
          <w:rFonts w:ascii="標楷體" w:eastAsia="標楷體" w:hAnsi="標楷體" w:cs="Times New Roman"/>
          <w:color w:val="000000"/>
          <w:sz w:val="28"/>
          <w:szCs w:val="28"/>
        </w:rPr>
      </w:pPr>
      <w:r w:rsidRPr="00260D5E">
        <w:rPr>
          <w:rFonts w:ascii="標楷體" w:eastAsia="標楷體" w:hAnsi="標楷體" w:cs="Times New Roman" w:hint="eastAsia"/>
          <w:color w:val="000000"/>
          <w:sz w:val="28"/>
          <w:szCs w:val="28"/>
        </w:rPr>
        <w:t>臺中市政府地政局</w:t>
      </w:r>
      <w:r>
        <w:rPr>
          <w:rFonts w:ascii="標楷體" w:eastAsia="標楷體" w:hAnsi="標楷體" w:cs="Times New Roman" w:hint="eastAsia"/>
          <w:color w:val="000000"/>
          <w:sz w:val="28"/>
          <w:szCs w:val="28"/>
        </w:rPr>
        <w:t>為使</w:t>
      </w:r>
      <w:r w:rsidRPr="00260D5E">
        <w:rPr>
          <w:rFonts w:ascii="標楷體" w:eastAsia="標楷體" w:hAnsi="標楷體" w:cs="Times New Roman" w:hint="eastAsia"/>
          <w:color w:val="000000"/>
          <w:sz w:val="28"/>
          <w:szCs w:val="28"/>
        </w:rPr>
        <w:t>各地政事務所</w:t>
      </w:r>
      <w:r>
        <w:rPr>
          <w:rFonts w:ascii="標楷體" w:eastAsia="標楷體" w:hAnsi="標楷體" w:cs="Times New Roman" w:hint="eastAsia"/>
          <w:color w:val="000000"/>
          <w:sz w:val="28"/>
          <w:szCs w:val="28"/>
        </w:rPr>
        <w:t>計算</w:t>
      </w:r>
      <w:r w:rsidRPr="00F02410">
        <w:rPr>
          <w:rFonts w:ascii="標楷體" w:eastAsia="標楷體" w:hAnsi="標楷體" w:cs="Times New Roman" w:hint="eastAsia"/>
          <w:color w:val="000000"/>
          <w:sz w:val="28"/>
          <w:szCs w:val="28"/>
        </w:rPr>
        <w:t>繁榮街道路線價</w:t>
      </w:r>
      <w:r w:rsidRPr="00986350">
        <w:rPr>
          <w:rFonts w:ascii="標楷體" w:eastAsia="標楷體" w:hAnsi="標楷體" w:cs="Times New Roman" w:hint="eastAsia"/>
          <w:color w:val="000000"/>
          <w:sz w:val="28"/>
          <w:szCs w:val="28"/>
        </w:rPr>
        <w:t>區段宗地單位地價</w:t>
      </w:r>
      <w:r w:rsidR="009D1637">
        <w:rPr>
          <w:rFonts w:ascii="標楷體" w:eastAsia="標楷體" w:hAnsi="標楷體" w:cs="Times New Roman" w:hint="eastAsia"/>
          <w:color w:val="000000"/>
          <w:sz w:val="28"/>
          <w:szCs w:val="28"/>
        </w:rPr>
        <w:t>有所依循</w:t>
      </w:r>
      <w:r>
        <w:rPr>
          <w:rFonts w:ascii="標楷體" w:eastAsia="標楷體" w:hAnsi="標楷體" w:cs="Times New Roman" w:hint="eastAsia"/>
          <w:color w:val="000000"/>
          <w:sz w:val="28"/>
          <w:szCs w:val="28"/>
        </w:rPr>
        <w:t>，於</w:t>
      </w:r>
      <w:r w:rsidR="00220106">
        <w:rPr>
          <w:rFonts w:ascii="標楷體" w:eastAsia="標楷體" w:hAnsi="標楷體" w:cs="Times New Roman" w:hint="eastAsia"/>
          <w:color w:val="000000"/>
          <w:sz w:val="28"/>
          <w:szCs w:val="28"/>
        </w:rPr>
        <w:t>一百</w:t>
      </w:r>
      <w:r w:rsidRPr="00F02410">
        <w:rPr>
          <w:rFonts w:ascii="標楷體" w:eastAsia="標楷體" w:hAnsi="標楷體" w:cs="Times New Roman" w:hint="eastAsia"/>
          <w:color w:val="000000"/>
          <w:sz w:val="28"/>
          <w:szCs w:val="28"/>
        </w:rPr>
        <w:t>年</w:t>
      </w:r>
      <w:r w:rsidR="00220106">
        <w:rPr>
          <w:rFonts w:ascii="標楷體" w:eastAsia="標楷體" w:hAnsi="標楷體" w:cs="Times New Roman" w:hint="eastAsia"/>
          <w:color w:val="000000"/>
          <w:sz w:val="28"/>
          <w:szCs w:val="28"/>
        </w:rPr>
        <w:t>一</w:t>
      </w:r>
      <w:r w:rsidRPr="00F02410">
        <w:rPr>
          <w:rFonts w:ascii="標楷體" w:eastAsia="標楷體" w:hAnsi="標楷體" w:cs="Times New Roman" w:hint="eastAsia"/>
          <w:color w:val="000000"/>
          <w:sz w:val="28"/>
          <w:szCs w:val="28"/>
        </w:rPr>
        <w:t>月</w:t>
      </w:r>
      <w:r w:rsidR="00220106">
        <w:rPr>
          <w:rFonts w:ascii="標楷體" w:eastAsia="標楷體" w:hAnsi="標楷體" w:cs="Times New Roman" w:hint="eastAsia"/>
          <w:color w:val="000000"/>
          <w:sz w:val="28"/>
          <w:szCs w:val="28"/>
        </w:rPr>
        <w:t>二十四</w:t>
      </w:r>
      <w:r w:rsidRPr="00F02410">
        <w:rPr>
          <w:rFonts w:ascii="標楷體" w:eastAsia="標楷體" w:hAnsi="標楷體" w:cs="Times New Roman" w:hint="eastAsia"/>
          <w:color w:val="000000"/>
          <w:sz w:val="28"/>
          <w:szCs w:val="28"/>
        </w:rPr>
        <w:t>日中市地價一字第</w:t>
      </w:r>
      <w:r w:rsidR="00220106">
        <w:rPr>
          <w:rFonts w:ascii="標楷體" w:eastAsia="標楷體" w:hAnsi="標楷體" w:cs="Times New Roman" w:hint="eastAsia"/>
          <w:color w:val="000000"/>
          <w:sz w:val="28"/>
          <w:szCs w:val="28"/>
        </w:rPr>
        <w:t>一○○○○○二二○六二</w:t>
      </w:r>
      <w:r w:rsidRPr="00F02410">
        <w:rPr>
          <w:rFonts w:ascii="標楷體" w:eastAsia="標楷體" w:hAnsi="標楷體" w:cs="Times New Roman" w:hint="eastAsia"/>
          <w:color w:val="000000"/>
          <w:sz w:val="28"/>
          <w:szCs w:val="28"/>
        </w:rPr>
        <w:t>號函訂定</w:t>
      </w:r>
      <w:r w:rsidR="00260D5E" w:rsidRPr="00F02410">
        <w:rPr>
          <w:rFonts w:ascii="標楷體" w:eastAsia="標楷體" w:hAnsi="標楷體" w:cs="Times New Roman" w:hint="eastAsia"/>
          <w:color w:val="000000"/>
          <w:sz w:val="28"/>
          <w:szCs w:val="28"/>
        </w:rPr>
        <w:t>「</w:t>
      </w:r>
      <w:r w:rsidR="00260D5E" w:rsidRPr="00260D5E">
        <w:rPr>
          <w:rFonts w:ascii="標楷體" w:eastAsia="標楷體" w:hAnsi="標楷體" w:cs="Times New Roman" w:hint="eastAsia"/>
          <w:color w:val="000000"/>
          <w:sz w:val="28"/>
          <w:szCs w:val="28"/>
        </w:rPr>
        <w:t>臺中市繁榮街道路線價區段宗地地價計算原則</w:t>
      </w:r>
      <w:r w:rsidR="00260D5E" w:rsidRPr="00F02410">
        <w:rPr>
          <w:rFonts w:ascii="標楷體" w:eastAsia="標楷體" w:hAnsi="標楷體" w:cs="Times New Roman" w:hint="eastAsia"/>
          <w:color w:val="000000"/>
          <w:sz w:val="28"/>
          <w:szCs w:val="28"/>
        </w:rPr>
        <w:t>」</w:t>
      </w:r>
      <w:r>
        <w:rPr>
          <w:rFonts w:ascii="標楷體" w:eastAsia="標楷體" w:hAnsi="標楷體" w:cs="Times New Roman" w:hint="eastAsia"/>
          <w:color w:val="000000"/>
          <w:sz w:val="28"/>
          <w:szCs w:val="28"/>
        </w:rPr>
        <w:t>，</w:t>
      </w:r>
      <w:r w:rsidR="009D1637">
        <w:rPr>
          <w:rFonts w:ascii="標楷體" w:eastAsia="標楷體" w:hAnsi="標楷體" w:cs="Times New Roman" w:hint="eastAsia"/>
          <w:color w:val="000000"/>
          <w:sz w:val="28"/>
          <w:szCs w:val="28"/>
        </w:rPr>
        <w:t>並於</w:t>
      </w:r>
      <w:r w:rsidR="00220106">
        <w:rPr>
          <w:rFonts w:ascii="標楷體" w:eastAsia="標楷體" w:hAnsi="標楷體" w:cs="Times New Roman" w:hint="eastAsia"/>
          <w:color w:val="000000"/>
          <w:sz w:val="28"/>
          <w:szCs w:val="28"/>
        </w:rPr>
        <w:t>一百零六</w:t>
      </w:r>
      <w:r w:rsidR="00260D5E">
        <w:rPr>
          <w:rFonts w:ascii="標楷體" w:eastAsia="標楷體" w:hAnsi="標楷體" w:cs="Times New Roman" w:hint="eastAsia"/>
          <w:color w:val="000000"/>
          <w:sz w:val="28"/>
          <w:szCs w:val="28"/>
        </w:rPr>
        <w:t>年</w:t>
      </w:r>
      <w:r w:rsidR="00220106">
        <w:rPr>
          <w:rFonts w:ascii="標楷體" w:eastAsia="標楷體" w:hAnsi="標楷體" w:cs="Times New Roman" w:hint="eastAsia"/>
          <w:color w:val="000000"/>
          <w:sz w:val="28"/>
          <w:szCs w:val="28"/>
        </w:rPr>
        <w:t>四</w:t>
      </w:r>
      <w:r w:rsidR="00260D5E">
        <w:rPr>
          <w:rFonts w:ascii="標楷體" w:eastAsia="標楷體" w:hAnsi="標楷體" w:cs="Times New Roman" w:hint="eastAsia"/>
          <w:color w:val="000000"/>
          <w:sz w:val="28"/>
          <w:szCs w:val="28"/>
        </w:rPr>
        <w:t>月</w:t>
      </w:r>
      <w:r w:rsidR="00220106">
        <w:rPr>
          <w:rFonts w:ascii="標楷體" w:eastAsia="標楷體" w:hAnsi="標楷體" w:cs="Times New Roman" w:hint="eastAsia"/>
          <w:color w:val="000000"/>
          <w:sz w:val="28"/>
          <w:szCs w:val="28"/>
        </w:rPr>
        <w:t>六</w:t>
      </w:r>
      <w:r w:rsidR="00260D5E">
        <w:rPr>
          <w:rFonts w:ascii="標楷體" w:eastAsia="標楷體" w:hAnsi="標楷體" w:cs="Times New Roman" w:hint="eastAsia"/>
          <w:color w:val="000000"/>
          <w:sz w:val="28"/>
          <w:szCs w:val="28"/>
        </w:rPr>
        <w:t>日</w:t>
      </w:r>
      <w:r w:rsidR="009D1637">
        <w:rPr>
          <w:rFonts w:ascii="標楷體" w:eastAsia="標楷體" w:hAnsi="標楷體" w:cs="Times New Roman" w:hint="eastAsia"/>
          <w:color w:val="000000"/>
          <w:sz w:val="28"/>
          <w:szCs w:val="28"/>
        </w:rPr>
        <w:t>中市地價一字第</w:t>
      </w:r>
      <w:r w:rsidR="00220106">
        <w:rPr>
          <w:rFonts w:ascii="標楷體" w:eastAsia="標楷體" w:hAnsi="標楷體" w:cs="Times New Roman" w:hint="eastAsia"/>
          <w:color w:val="000000"/>
          <w:sz w:val="28"/>
          <w:szCs w:val="28"/>
        </w:rPr>
        <w:t>一○六○○一一○八九</w:t>
      </w:r>
      <w:r w:rsidR="009D1637">
        <w:rPr>
          <w:rFonts w:ascii="標楷體" w:eastAsia="標楷體" w:hAnsi="標楷體" w:cs="Times New Roman" w:hint="eastAsia"/>
          <w:color w:val="000000"/>
          <w:sz w:val="28"/>
          <w:szCs w:val="28"/>
        </w:rPr>
        <w:t>號函</w:t>
      </w:r>
      <w:r w:rsidR="00260D5E">
        <w:rPr>
          <w:rFonts w:ascii="標楷體" w:eastAsia="標楷體" w:hAnsi="標楷體" w:cs="Times New Roman" w:hint="eastAsia"/>
          <w:color w:val="000000"/>
          <w:sz w:val="28"/>
          <w:szCs w:val="28"/>
        </w:rPr>
        <w:t>修正</w:t>
      </w:r>
      <w:r w:rsidR="003C7D75">
        <w:rPr>
          <w:rFonts w:ascii="標楷體" w:eastAsia="標楷體" w:hAnsi="標楷體" w:cs="Times New Roman" w:hint="eastAsia"/>
          <w:color w:val="000000"/>
          <w:sz w:val="28"/>
          <w:szCs w:val="28"/>
        </w:rPr>
        <w:t>名稱為「</w:t>
      </w:r>
      <w:r w:rsidR="003C7D75" w:rsidRPr="003C7D75">
        <w:rPr>
          <w:rFonts w:ascii="標楷體" w:eastAsia="標楷體" w:hAnsi="標楷體" w:cs="Times New Roman" w:hint="eastAsia"/>
          <w:color w:val="000000"/>
          <w:sz w:val="28"/>
          <w:szCs w:val="28"/>
        </w:rPr>
        <w:t>臺中市政府地政局辦理繁榮街道路線價區段宗地單位地價計算原則</w:t>
      </w:r>
      <w:r w:rsidR="003C7D75">
        <w:rPr>
          <w:rFonts w:ascii="標楷體" w:eastAsia="標楷體" w:hAnsi="標楷體" w:cs="Times New Roman" w:hint="eastAsia"/>
          <w:color w:val="000000"/>
          <w:sz w:val="28"/>
          <w:szCs w:val="28"/>
        </w:rPr>
        <w:t>」，</w:t>
      </w:r>
      <w:r w:rsidR="00815878">
        <w:rPr>
          <w:rFonts w:ascii="標楷體" w:eastAsia="標楷體" w:hAnsi="標楷體" w:cs="Times New Roman" w:hint="eastAsia"/>
          <w:color w:val="000000"/>
          <w:sz w:val="28"/>
          <w:szCs w:val="28"/>
        </w:rPr>
        <w:t>同時</w:t>
      </w:r>
      <w:r w:rsidR="003C7D75">
        <w:rPr>
          <w:rFonts w:ascii="標楷體" w:eastAsia="標楷體" w:hAnsi="標楷體" w:cs="Times New Roman" w:hint="eastAsia"/>
          <w:color w:val="000000"/>
          <w:sz w:val="28"/>
          <w:szCs w:val="28"/>
        </w:rPr>
        <w:t>修正</w:t>
      </w:r>
      <w:r w:rsidR="009D1637">
        <w:rPr>
          <w:rFonts w:ascii="標楷體" w:eastAsia="標楷體" w:hAnsi="標楷體" w:cs="Times New Roman" w:hint="eastAsia"/>
          <w:color w:val="000000"/>
          <w:sz w:val="28"/>
          <w:szCs w:val="28"/>
        </w:rPr>
        <w:t>第</w:t>
      </w:r>
      <w:r w:rsidR="00DE37FE">
        <w:rPr>
          <w:rFonts w:ascii="標楷體" w:eastAsia="標楷體" w:hAnsi="標楷體" w:cs="Times New Roman" w:hint="eastAsia"/>
          <w:color w:val="000000"/>
          <w:sz w:val="28"/>
          <w:szCs w:val="28"/>
        </w:rPr>
        <w:t>五</w:t>
      </w:r>
      <w:r w:rsidR="009D1637">
        <w:rPr>
          <w:rFonts w:ascii="標楷體" w:eastAsia="標楷體" w:hAnsi="標楷體" w:cs="Times New Roman" w:hint="eastAsia"/>
          <w:color w:val="000000"/>
          <w:sz w:val="28"/>
          <w:szCs w:val="28"/>
        </w:rPr>
        <w:t>點</w:t>
      </w:r>
      <w:r w:rsidR="003C7D75">
        <w:rPr>
          <w:rFonts w:ascii="標楷體" w:eastAsia="標楷體" w:hAnsi="標楷體" w:cs="Times New Roman" w:hint="eastAsia"/>
          <w:color w:val="000000"/>
          <w:sz w:val="28"/>
          <w:szCs w:val="28"/>
        </w:rPr>
        <w:t>內容</w:t>
      </w:r>
      <w:r w:rsidR="00260D5E">
        <w:rPr>
          <w:rFonts w:ascii="標楷體" w:eastAsia="標楷體" w:hAnsi="標楷體" w:cs="Times New Roman" w:hint="eastAsia"/>
          <w:color w:val="000000"/>
          <w:sz w:val="28"/>
          <w:szCs w:val="28"/>
        </w:rPr>
        <w:t>。</w:t>
      </w:r>
      <w:r w:rsidR="00815878">
        <w:rPr>
          <w:rFonts w:ascii="標楷體" w:eastAsia="標楷體" w:hAnsi="標楷體" w:cs="Times New Roman" w:hint="eastAsia"/>
          <w:color w:val="000000"/>
          <w:sz w:val="28"/>
          <w:szCs w:val="28"/>
        </w:rPr>
        <w:t>現</w:t>
      </w:r>
      <w:r w:rsidR="003C63E8">
        <w:rPr>
          <w:rFonts w:ascii="標楷體" w:eastAsia="標楷體" w:hAnsi="標楷體" w:cs="Times New Roman" w:hint="eastAsia"/>
          <w:color w:val="000000"/>
          <w:sz w:val="28"/>
          <w:szCs w:val="28"/>
        </w:rPr>
        <w:t>因</w:t>
      </w:r>
      <w:r w:rsidR="00447CD2">
        <w:rPr>
          <w:rFonts w:ascii="標楷體" w:eastAsia="標楷體" w:hAnsi="標楷體" w:cs="Times New Roman" w:hint="eastAsia"/>
          <w:color w:val="000000"/>
          <w:sz w:val="28"/>
          <w:szCs w:val="28"/>
        </w:rPr>
        <w:t>本計算原則</w:t>
      </w:r>
      <w:r w:rsidR="003212B6">
        <w:rPr>
          <w:rFonts w:ascii="標楷體" w:eastAsia="標楷體" w:hAnsi="標楷體" w:cs="Times New Roman" w:hint="eastAsia"/>
          <w:color w:val="000000"/>
          <w:sz w:val="28"/>
          <w:szCs w:val="28"/>
        </w:rPr>
        <w:t>路</w:t>
      </w:r>
      <w:r w:rsidR="00447CD2">
        <w:rPr>
          <w:rFonts w:ascii="標楷體" w:eastAsia="標楷體" w:hAnsi="標楷體" w:cs="Times New Roman" w:hint="eastAsia"/>
          <w:color w:val="000000"/>
          <w:sz w:val="28"/>
          <w:szCs w:val="28"/>
        </w:rPr>
        <w:t>角地</w:t>
      </w:r>
      <w:r w:rsidR="00447CD2" w:rsidRPr="00447CD2">
        <w:rPr>
          <w:rFonts w:ascii="標楷體" w:eastAsia="標楷體" w:hAnsi="標楷體" w:cs="Times New Roman" w:hint="eastAsia"/>
          <w:color w:val="000000"/>
          <w:sz w:val="28"/>
          <w:szCs w:val="28"/>
        </w:rPr>
        <w:t>旁街</w:t>
      </w:r>
      <w:r w:rsidR="00B852DB">
        <w:rPr>
          <w:rFonts w:ascii="標楷體" w:eastAsia="標楷體" w:hAnsi="標楷體" w:cs="Times New Roman" w:hint="eastAsia"/>
          <w:color w:val="000000"/>
          <w:sz w:val="28"/>
          <w:szCs w:val="28"/>
        </w:rPr>
        <w:t>路線價</w:t>
      </w:r>
      <w:r w:rsidR="00447CD2" w:rsidRPr="00447CD2">
        <w:rPr>
          <w:rFonts w:ascii="標楷體" w:eastAsia="標楷體" w:hAnsi="標楷體" w:cs="Times New Roman" w:hint="eastAsia"/>
          <w:color w:val="000000"/>
          <w:sz w:val="28"/>
          <w:szCs w:val="28"/>
        </w:rPr>
        <w:t>之影響大於正街</w:t>
      </w:r>
      <w:r w:rsidR="00B852DB">
        <w:rPr>
          <w:rFonts w:ascii="標楷體" w:eastAsia="標楷體" w:hAnsi="標楷體" w:cs="Times New Roman" w:hint="eastAsia"/>
          <w:color w:val="000000"/>
          <w:sz w:val="28"/>
          <w:szCs w:val="28"/>
        </w:rPr>
        <w:t>路線價</w:t>
      </w:r>
      <w:r w:rsidR="00447CD2" w:rsidRPr="00447CD2">
        <w:rPr>
          <w:rFonts w:ascii="標楷體" w:eastAsia="標楷體" w:hAnsi="標楷體" w:cs="Times New Roman" w:hint="eastAsia"/>
          <w:color w:val="000000"/>
          <w:sz w:val="28"/>
          <w:szCs w:val="28"/>
        </w:rPr>
        <w:t>之影響</w:t>
      </w:r>
      <w:r w:rsidR="003212B6">
        <w:rPr>
          <w:rFonts w:ascii="標楷體" w:eastAsia="標楷體" w:hAnsi="標楷體" w:cs="Times New Roman" w:hint="eastAsia"/>
          <w:color w:val="000000"/>
          <w:sz w:val="28"/>
          <w:szCs w:val="28"/>
        </w:rPr>
        <w:t>、</w:t>
      </w:r>
      <w:r w:rsidR="003212B6" w:rsidRPr="003212B6">
        <w:rPr>
          <w:rFonts w:ascii="標楷體" w:eastAsia="標楷體" w:hAnsi="標楷體" w:cs="Times New Roman" w:hint="eastAsia"/>
          <w:color w:val="000000"/>
          <w:sz w:val="28"/>
          <w:szCs w:val="28"/>
        </w:rPr>
        <w:t>同一宗土地</w:t>
      </w:r>
      <w:r w:rsidR="004A693C">
        <w:rPr>
          <w:rFonts w:ascii="標楷體" w:eastAsia="標楷體" w:hAnsi="標楷體" w:cs="Times New Roman" w:hint="eastAsia"/>
          <w:color w:val="000000"/>
          <w:sz w:val="28"/>
          <w:szCs w:val="28"/>
        </w:rPr>
        <w:t>認定標準不明</w:t>
      </w:r>
      <w:r w:rsidR="0080215F">
        <w:rPr>
          <w:rFonts w:ascii="標楷體" w:eastAsia="標楷體" w:hAnsi="標楷體" w:cs="Times New Roman" w:hint="eastAsia"/>
          <w:color w:val="000000"/>
          <w:sz w:val="28"/>
          <w:szCs w:val="28"/>
        </w:rPr>
        <w:t>，</w:t>
      </w:r>
      <w:r w:rsidR="00F41425">
        <w:rPr>
          <w:rFonts w:ascii="標楷體" w:eastAsia="標楷體" w:hAnsi="標楷體" w:cs="Times New Roman" w:hint="eastAsia"/>
          <w:color w:val="000000"/>
          <w:sz w:val="28"/>
          <w:szCs w:val="28"/>
        </w:rPr>
        <w:t>爰修正第</w:t>
      </w:r>
      <w:r w:rsidR="00DE37FE">
        <w:rPr>
          <w:rFonts w:ascii="標楷體" w:eastAsia="標楷體" w:hAnsi="標楷體" w:cs="Times New Roman" w:hint="eastAsia"/>
          <w:color w:val="000000"/>
          <w:sz w:val="28"/>
          <w:szCs w:val="28"/>
        </w:rPr>
        <w:t>五</w:t>
      </w:r>
      <w:r w:rsidR="00F41425">
        <w:rPr>
          <w:rFonts w:ascii="標楷體" w:eastAsia="標楷體" w:hAnsi="標楷體" w:cs="Times New Roman" w:hint="eastAsia"/>
          <w:color w:val="000000"/>
          <w:sz w:val="28"/>
          <w:szCs w:val="28"/>
        </w:rPr>
        <w:t>點並新增第</w:t>
      </w:r>
      <w:r w:rsidR="00DE37FE">
        <w:rPr>
          <w:rFonts w:ascii="標楷體" w:eastAsia="標楷體" w:hAnsi="標楷體" w:cs="Times New Roman" w:hint="eastAsia"/>
          <w:color w:val="000000"/>
          <w:sz w:val="28"/>
          <w:szCs w:val="28"/>
        </w:rPr>
        <w:t>六</w:t>
      </w:r>
      <w:r w:rsidR="00F41425">
        <w:rPr>
          <w:rFonts w:ascii="標楷體" w:eastAsia="標楷體" w:hAnsi="標楷體" w:cs="Times New Roman" w:hint="eastAsia"/>
          <w:color w:val="000000"/>
          <w:sz w:val="28"/>
          <w:szCs w:val="28"/>
        </w:rPr>
        <w:t>點</w:t>
      </w:r>
      <w:r w:rsidR="009254A5">
        <w:rPr>
          <w:rFonts w:ascii="標楷體" w:eastAsia="標楷體" w:hAnsi="標楷體" w:cs="Times New Roman" w:hint="eastAsia"/>
          <w:color w:val="000000"/>
          <w:sz w:val="28"/>
          <w:szCs w:val="28"/>
        </w:rPr>
        <w:t>，修正</w:t>
      </w:r>
      <w:r w:rsidR="003C63E8">
        <w:rPr>
          <w:rFonts w:ascii="標楷體" w:eastAsia="標楷體" w:hAnsi="標楷體" w:cs="Times New Roman" w:hint="eastAsia"/>
          <w:color w:val="000000"/>
          <w:sz w:val="28"/>
          <w:szCs w:val="28"/>
        </w:rPr>
        <w:t>重</w:t>
      </w:r>
      <w:r w:rsidR="009254A5">
        <w:rPr>
          <w:rFonts w:ascii="標楷體" w:eastAsia="標楷體" w:hAnsi="標楷體" w:cs="Times New Roman" w:hint="eastAsia"/>
          <w:color w:val="000000"/>
          <w:sz w:val="28"/>
          <w:szCs w:val="28"/>
        </w:rPr>
        <w:t>點如下：</w:t>
      </w:r>
    </w:p>
    <w:p w:rsidR="00F41425" w:rsidRPr="009254A5" w:rsidRDefault="00F41425" w:rsidP="006179E1">
      <w:pPr>
        <w:pStyle w:val="ab"/>
        <w:numPr>
          <w:ilvl w:val="0"/>
          <w:numId w:val="5"/>
        </w:numPr>
        <w:overflowPunct w:val="0"/>
        <w:spacing w:line="460" w:lineRule="exact"/>
        <w:ind w:leftChars="0" w:left="72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修正</w:t>
      </w:r>
      <w:r w:rsidRPr="009254A5">
        <w:rPr>
          <w:rFonts w:ascii="標楷體" w:eastAsia="標楷體" w:hAnsi="標楷體" w:cs="Times New Roman" w:hint="eastAsia"/>
          <w:color w:val="000000"/>
          <w:sz w:val="28"/>
          <w:szCs w:val="28"/>
        </w:rPr>
        <w:t>路角地</w:t>
      </w:r>
      <w:r w:rsidRPr="00094B05">
        <w:rPr>
          <w:rFonts w:ascii="標楷體" w:eastAsia="標楷體" w:hAnsi="標楷體" w:cs="Times New Roman" w:hint="eastAsia"/>
          <w:color w:val="000000"/>
          <w:sz w:val="28"/>
          <w:szCs w:val="28"/>
        </w:rPr>
        <w:t>加計旁街</w:t>
      </w:r>
      <w:r>
        <w:rPr>
          <w:rFonts w:ascii="標楷體" w:eastAsia="標楷體" w:hAnsi="標楷體" w:cs="Times New Roman" w:hint="eastAsia"/>
          <w:color w:val="000000"/>
          <w:sz w:val="28"/>
          <w:szCs w:val="28"/>
        </w:rPr>
        <w:t>路線價規定。（修正規定第五點）</w:t>
      </w:r>
    </w:p>
    <w:p w:rsidR="009254A5" w:rsidRDefault="00F41425" w:rsidP="00EB036C">
      <w:pPr>
        <w:pStyle w:val="ab"/>
        <w:numPr>
          <w:ilvl w:val="0"/>
          <w:numId w:val="5"/>
        </w:numPr>
        <w:spacing w:line="460" w:lineRule="exact"/>
        <w:ind w:leftChars="0" w:left="72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增訂</w:t>
      </w:r>
      <w:r w:rsidRPr="003212B6">
        <w:rPr>
          <w:rFonts w:ascii="標楷體" w:eastAsia="標楷體" w:hAnsi="標楷體" w:cs="Times New Roman" w:hint="eastAsia"/>
          <w:color w:val="000000"/>
          <w:sz w:val="28"/>
          <w:szCs w:val="28"/>
        </w:rPr>
        <w:t>同一宗土地</w:t>
      </w:r>
      <w:r>
        <w:rPr>
          <w:rFonts w:ascii="標楷體" w:eastAsia="標楷體" w:hAnsi="標楷體" w:cs="Times New Roman" w:hint="eastAsia"/>
          <w:color w:val="000000"/>
          <w:sz w:val="28"/>
          <w:szCs w:val="28"/>
        </w:rPr>
        <w:t>認定標準</w:t>
      </w:r>
      <w:r w:rsidR="0050736E">
        <w:rPr>
          <w:rFonts w:ascii="標楷體" w:eastAsia="標楷體" w:hAnsi="標楷體" w:cs="Times New Roman" w:hint="eastAsia"/>
          <w:color w:val="000000"/>
          <w:sz w:val="28"/>
          <w:szCs w:val="28"/>
        </w:rPr>
        <w:t>。</w:t>
      </w:r>
      <w:r>
        <w:rPr>
          <w:rFonts w:ascii="標楷體" w:eastAsia="標楷體" w:hAnsi="標楷體" w:cs="Times New Roman" w:hint="eastAsia"/>
          <w:color w:val="000000"/>
          <w:sz w:val="28"/>
          <w:szCs w:val="28"/>
        </w:rPr>
        <w:t>（新增規定第六點）</w:t>
      </w:r>
    </w:p>
    <w:p w:rsidR="009207E9" w:rsidRDefault="009207E9" w:rsidP="00FA5902">
      <w:pPr>
        <w:pStyle w:val="ab"/>
        <w:spacing w:line="460" w:lineRule="exact"/>
        <w:ind w:leftChars="0" w:left="1280"/>
        <w:jc w:val="both"/>
        <w:rPr>
          <w:rFonts w:ascii="標楷體" w:eastAsia="標楷體" w:hAnsi="標楷體" w:cs="Times New Roman"/>
          <w:color w:val="000000"/>
          <w:sz w:val="28"/>
          <w:szCs w:val="28"/>
        </w:rPr>
      </w:pPr>
    </w:p>
    <w:p w:rsidR="00EB036C" w:rsidRDefault="00EB036C">
      <w:pPr>
        <w:widowControl/>
        <w:rPr>
          <w:rFonts w:ascii="標楷體" w:eastAsia="標楷體" w:hAnsi="標楷體" w:cs="Times New Roman"/>
          <w:color w:val="000000"/>
          <w:sz w:val="28"/>
          <w:szCs w:val="28"/>
        </w:rPr>
      </w:pPr>
      <w:r>
        <w:rPr>
          <w:rFonts w:ascii="標楷體" w:eastAsia="標楷體" w:hAnsi="標楷體" w:cs="Times New Roman"/>
          <w:color w:val="000000"/>
          <w:sz w:val="28"/>
          <w:szCs w:val="28"/>
        </w:rPr>
        <w:br w:type="page"/>
      </w:r>
    </w:p>
    <w:p w:rsidR="00A77C7E" w:rsidRDefault="00A77C7E" w:rsidP="00C348DF">
      <w:pPr>
        <w:widowControl/>
        <w:rPr>
          <w:rFonts w:ascii="標楷體" w:eastAsia="標楷體" w:hAnsi="標楷體" w:cs="Times New Roman"/>
          <w:color w:val="000000"/>
          <w:sz w:val="28"/>
          <w:szCs w:val="28"/>
        </w:rPr>
      </w:pPr>
      <w:r w:rsidRPr="00260D5E">
        <w:rPr>
          <w:rFonts w:ascii="標楷體" w:eastAsia="標楷體" w:hAnsi="標楷體" w:hint="eastAsia"/>
          <w:b/>
          <w:sz w:val="40"/>
          <w:szCs w:val="40"/>
        </w:rPr>
        <w:lastRenderedPageBreak/>
        <w:t>臺中市政府地政局</w:t>
      </w:r>
      <w:r>
        <w:rPr>
          <w:rFonts w:ascii="標楷體" w:eastAsia="標楷體" w:hAnsi="標楷體" w:hint="eastAsia"/>
          <w:b/>
          <w:sz w:val="40"/>
          <w:szCs w:val="40"/>
        </w:rPr>
        <w:t>辦理</w:t>
      </w:r>
      <w:r w:rsidRPr="00260D5E">
        <w:rPr>
          <w:rFonts w:ascii="標楷體" w:eastAsia="標楷體" w:hAnsi="標楷體" w:hint="eastAsia"/>
          <w:b/>
          <w:sz w:val="40"/>
          <w:szCs w:val="40"/>
        </w:rPr>
        <w:t>繁榮街道路線價區段宗地單位地價計算原則</w:t>
      </w:r>
      <w:r w:rsidRPr="002169AE">
        <w:rPr>
          <w:rFonts w:ascii="標楷體" w:eastAsia="標楷體" w:hAnsi="標楷體" w:hint="eastAsia"/>
          <w:b/>
          <w:sz w:val="40"/>
          <w:szCs w:val="40"/>
        </w:rPr>
        <w:t>修正第五點</w:t>
      </w:r>
      <w:r>
        <w:rPr>
          <w:rFonts w:ascii="標楷體" w:eastAsia="標楷體" w:hAnsi="標楷體" w:hint="eastAsia"/>
          <w:b/>
          <w:sz w:val="40"/>
          <w:szCs w:val="40"/>
        </w:rPr>
        <w:t>及新增第六點</w:t>
      </w:r>
      <w:r w:rsidRPr="00A77C7E">
        <w:rPr>
          <w:rFonts w:ascii="標楷體" w:eastAsia="標楷體" w:hAnsi="標楷體" w:hint="eastAsia"/>
          <w:b/>
          <w:sz w:val="40"/>
          <w:szCs w:val="40"/>
        </w:rPr>
        <w:t>修正對照表</w:t>
      </w:r>
    </w:p>
    <w:tbl>
      <w:tblPr>
        <w:tblW w:w="906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257"/>
        <w:gridCol w:w="3260"/>
        <w:gridCol w:w="2552"/>
      </w:tblGrid>
      <w:tr w:rsidR="00A77C7E" w:rsidRPr="001D7C42" w:rsidTr="00C359EF">
        <w:trPr>
          <w:trHeight w:val="67"/>
        </w:trPr>
        <w:tc>
          <w:tcPr>
            <w:tcW w:w="3257" w:type="dxa"/>
            <w:noWrap/>
            <w:tcFitText/>
            <w:vAlign w:val="center"/>
          </w:tcPr>
          <w:p w:rsidR="00A77C7E" w:rsidRPr="001D7C42" w:rsidRDefault="00A77C7E" w:rsidP="00C359EF">
            <w:pPr>
              <w:jc w:val="center"/>
              <w:rPr>
                <w:rFonts w:ascii="標楷體" w:eastAsia="標楷體" w:hAnsi="標楷體"/>
                <w:sz w:val="28"/>
                <w:szCs w:val="28"/>
              </w:rPr>
            </w:pPr>
            <w:r w:rsidRPr="00C348DF">
              <w:rPr>
                <w:rFonts w:ascii="標楷體" w:eastAsia="標楷體" w:hAnsi="標楷體" w:hint="eastAsia"/>
                <w:spacing w:val="344"/>
                <w:kern w:val="0"/>
                <w:sz w:val="28"/>
                <w:szCs w:val="28"/>
              </w:rPr>
              <w:t>修正規</w:t>
            </w:r>
            <w:r w:rsidRPr="00C348DF">
              <w:rPr>
                <w:rFonts w:ascii="標楷體" w:eastAsia="標楷體" w:hAnsi="標楷體" w:hint="eastAsia"/>
                <w:spacing w:val="-1"/>
                <w:kern w:val="0"/>
                <w:sz w:val="28"/>
                <w:szCs w:val="28"/>
              </w:rPr>
              <w:t>定</w:t>
            </w:r>
          </w:p>
        </w:tc>
        <w:tc>
          <w:tcPr>
            <w:tcW w:w="3260" w:type="dxa"/>
            <w:noWrap/>
            <w:tcFitText/>
            <w:vAlign w:val="center"/>
          </w:tcPr>
          <w:p w:rsidR="00A77C7E" w:rsidRPr="001D7C42" w:rsidRDefault="00A77C7E" w:rsidP="00C359EF">
            <w:pPr>
              <w:jc w:val="center"/>
              <w:rPr>
                <w:rFonts w:ascii="標楷體" w:eastAsia="標楷體" w:hAnsi="標楷體"/>
                <w:sz w:val="28"/>
                <w:szCs w:val="28"/>
              </w:rPr>
            </w:pPr>
            <w:r w:rsidRPr="001D7C42">
              <w:rPr>
                <w:rFonts w:ascii="標楷體" w:eastAsia="標楷體" w:hAnsi="標楷體" w:hint="eastAsia"/>
                <w:spacing w:val="344"/>
                <w:kern w:val="0"/>
                <w:sz w:val="28"/>
                <w:szCs w:val="28"/>
              </w:rPr>
              <w:t>現行規</w:t>
            </w:r>
            <w:r w:rsidRPr="001D7C42">
              <w:rPr>
                <w:rFonts w:ascii="標楷體" w:eastAsia="標楷體" w:hAnsi="標楷體" w:hint="eastAsia"/>
                <w:kern w:val="0"/>
                <w:sz w:val="28"/>
                <w:szCs w:val="28"/>
              </w:rPr>
              <w:t>定</w:t>
            </w:r>
          </w:p>
        </w:tc>
        <w:tc>
          <w:tcPr>
            <w:tcW w:w="2552" w:type="dxa"/>
            <w:noWrap/>
            <w:tcFitText/>
            <w:vAlign w:val="center"/>
          </w:tcPr>
          <w:p w:rsidR="00A77C7E" w:rsidRPr="001D7C42" w:rsidRDefault="00A77C7E" w:rsidP="00C359EF">
            <w:pPr>
              <w:jc w:val="center"/>
              <w:rPr>
                <w:rFonts w:ascii="標楷體" w:eastAsia="標楷體" w:hAnsi="標楷體"/>
                <w:sz w:val="28"/>
                <w:szCs w:val="28"/>
              </w:rPr>
            </w:pPr>
            <w:r w:rsidRPr="001D7C42">
              <w:rPr>
                <w:rFonts w:ascii="標楷體" w:eastAsia="標楷體" w:hAnsi="標楷體" w:hint="eastAsia"/>
                <w:spacing w:val="958"/>
                <w:kern w:val="0"/>
                <w:sz w:val="28"/>
                <w:szCs w:val="28"/>
              </w:rPr>
              <w:t>說</w:t>
            </w:r>
            <w:r w:rsidRPr="001D7C42">
              <w:rPr>
                <w:rFonts w:ascii="標楷體" w:eastAsia="標楷體" w:hAnsi="標楷體" w:hint="eastAsia"/>
                <w:kern w:val="0"/>
                <w:sz w:val="28"/>
                <w:szCs w:val="28"/>
              </w:rPr>
              <w:t>明</w:t>
            </w:r>
          </w:p>
        </w:tc>
      </w:tr>
      <w:tr w:rsidR="00A77C7E" w:rsidRPr="001D7C42" w:rsidTr="00C359EF">
        <w:trPr>
          <w:trHeight w:val="1081"/>
        </w:trPr>
        <w:tc>
          <w:tcPr>
            <w:tcW w:w="3257" w:type="dxa"/>
          </w:tcPr>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五、各宗土地單位地價視其位置與臨街深度分別依下列方法計算之。</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(一)、臨街地</w:t>
            </w:r>
          </w:p>
          <w:tbl>
            <w:tblPr>
              <w:tblW w:w="4882" w:type="pct"/>
              <w:tblCellSpacing w:w="0" w:type="dxa"/>
              <w:tblBorders>
                <w:top w:val="outset" w:sz="6" w:space="0" w:color="9966FF"/>
                <w:left w:val="outset" w:sz="6" w:space="0" w:color="9966FF"/>
                <w:bottom w:val="outset" w:sz="6" w:space="0" w:color="9966FF"/>
                <w:right w:val="outset" w:sz="6" w:space="0" w:color="9966FF"/>
              </w:tblBorders>
              <w:tblLayout w:type="fixed"/>
              <w:tblCellMar>
                <w:top w:w="15" w:type="dxa"/>
                <w:left w:w="15" w:type="dxa"/>
                <w:bottom w:w="15" w:type="dxa"/>
                <w:right w:w="15" w:type="dxa"/>
              </w:tblCellMar>
              <w:tblLook w:val="0000" w:firstRow="0" w:lastRow="0" w:firstColumn="0" w:lastColumn="0" w:noHBand="0" w:noVBand="0"/>
            </w:tblPr>
            <w:tblGrid>
              <w:gridCol w:w="2076"/>
              <w:gridCol w:w="1034"/>
            </w:tblGrid>
            <w:tr w:rsidR="00A77C7E" w:rsidRPr="001D7C42" w:rsidTr="00C359EF">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臨街深度</w:t>
                  </w:r>
                </w:p>
              </w:tc>
              <w:tc>
                <w:tcPr>
                  <w:tcW w:w="1663"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kern w:val="0"/>
                      <w:sz w:val="28"/>
                      <w:szCs w:val="28"/>
                    </w:rPr>
                    <w:t>指 數（﹪）</w:t>
                  </w:r>
                </w:p>
              </w:tc>
            </w:tr>
            <w:tr w:rsidR="00A77C7E" w:rsidRPr="001D7C42" w:rsidTr="00C359EF">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kern w:val="0"/>
                      <w:sz w:val="28"/>
                      <w:szCs w:val="28"/>
                    </w:rPr>
                    <w:t>未</w:t>
                  </w:r>
                  <w:r w:rsidRPr="001D7C42">
                    <w:rPr>
                      <w:rFonts w:ascii="標楷體" w:eastAsia="標楷體" w:hAnsi="標楷體" w:cs="新細明體" w:hint="eastAsia"/>
                      <w:kern w:val="0"/>
                      <w:sz w:val="28"/>
                      <w:szCs w:val="28"/>
                    </w:rPr>
                    <w:t>達12</w:t>
                  </w:r>
                  <w:r w:rsidRPr="001D7C42">
                    <w:rPr>
                      <w:rFonts w:ascii="標楷體" w:eastAsia="標楷體" w:hAnsi="標楷體" w:cs="新細明體"/>
                      <w:kern w:val="0"/>
                      <w:sz w:val="28"/>
                      <w:szCs w:val="28"/>
                    </w:rPr>
                    <w:t>公尺</w:t>
                  </w:r>
                </w:p>
              </w:tc>
              <w:tc>
                <w:tcPr>
                  <w:tcW w:w="1663"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110</w:t>
                  </w:r>
                </w:p>
              </w:tc>
            </w:tr>
            <w:tr w:rsidR="00A77C7E" w:rsidRPr="001D7C42" w:rsidTr="00C359EF">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滿12公尺未達15公尺</w:t>
                  </w:r>
                </w:p>
              </w:tc>
              <w:tc>
                <w:tcPr>
                  <w:tcW w:w="1663"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105</w:t>
                  </w:r>
                </w:p>
              </w:tc>
            </w:tr>
            <w:tr w:rsidR="00A77C7E" w:rsidRPr="001D7C42" w:rsidTr="00C359EF">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滿15公尺未達18公尺</w:t>
                  </w:r>
                </w:p>
              </w:tc>
              <w:tc>
                <w:tcPr>
                  <w:tcW w:w="1663"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100</w:t>
                  </w:r>
                </w:p>
              </w:tc>
            </w:tr>
          </w:tbl>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1、臨街地深度未達裡地線者，依上表所列指數計算之(見圖例一1.2.3.)。前開裡地線之標準深度以距離臨街線十八公尺為準。</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2、平行四邊形之宗地以其高度為臨街深度，按臨街深度指數計算其單價(見圖例二4.)。</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3、平行邊與臨街線一致之梯形宗地以其高度為臨街深度，按臨街深度指數求得其每平方公尺單價，再視其上下兩邊長短之比例及利用價值增減補正之，其補正之數額以不超過原計算之單價</w:t>
            </w:r>
            <w:r w:rsidRPr="001D7C42">
              <w:rPr>
                <w:rFonts w:ascii="標楷體" w:eastAsia="標楷體" w:hAnsi="標楷體" w:hint="eastAsia"/>
                <w:szCs w:val="28"/>
              </w:rPr>
              <w:lastRenderedPageBreak/>
              <w:t>二成為限；平行邊與臨街線垂直之梯形以兩邊中點之連線為臨街深度，按臨街深度指數計算其每平方公尺之單價，不再增減補正(見圖例二5.6.10.)。</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4、正三角形(三角形之一邊為臨街線者)之宗地以高度二分之一為臨街深度，按臨街深度指數計算其單價(見圖例二7.)</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5、逆三角形(三角形之頂點在臨街線者)之宗地，比照袋地計算其單價(見圖例二8.)。</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6、街廓縱深在三十六公尺以下者，應以中間線分前後兩部分，分別按其深度計算其臨街單價(見圖例三11.)。</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7、宗地深度較深超過裡地線者，其每平方公尺之單價與臨街地單價按面積比例平均計算其單價(見圖例二9.)。</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(二)、路角地：</w:t>
            </w:r>
          </w:p>
          <w:p w:rsidR="00A77C7E" w:rsidRPr="001D7C42" w:rsidRDefault="00A77C7E" w:rsidP="00C359EF">
            <w:pPr>
              <w:pStyle w:val="a3"/>
              <w:numPr>
                <w:ilvl w:val="0"/>
                <w:numId w:val="11"/>
              </w:numPr>
              <w:jc w:val="both"/>
              <w:rPr>
                <w:rFonts w:ascii="標楷體" w:eastAsia="標楷體" w:hAnsi="標楷體" w:cstheme="minorBidi"/>
                <w:szCs w:val="28"/>
              </w:rPr>
            </w:pPr>
            <w:r w:rsidRPr="001D7C42">
              <w:rPr>
                <w:rFonts w:ascii="標楷體" w:eastAsia="標楷體" w:hAnsi="標楷體" w:hint="eastAsia"/>
                <w:szCs w:val="28"/>
              </w:rPr>
              <w:t>路角地之地價除依正街之臨街深度按臨街深度指數計算其單價後，並斟酌加計旁街地價。加計之方法以縱橫臨街線之交叉點起每四點五公尺為一級距依序加計旁街路線價之</w:t>
            </w:r>
            <w:r w:rsidRPr="00B97FAA">
              <w:rPr>
                <w:rFonts w:ascii="標楷體" w:eastAsia="標楷體" w:hAnsi="標楷體" w:hint="eastAsia"/>
                <w:szCs w:val="28"/>
                <w:u w:val="single"/>
              </w:rPr>
              <w:t>百分之十及百分之五</w:t>
            </w:r>
            <w:r w:rsidRPr="001D7C42">
              <w:rPr>
                <w:rFonts w:ascii="標楷體" w:eastAsia="標楷體" w:hAnsi="標楷體" w:hint="eastAsia"/>
                <w:szCs w:val="28"/>
              </w:rPr>
              <w:t>(見圖例四12.、13.)。</w:t>
            </w:r>
            <w:r w:rsidRPr="001D7C42">
              <w:rPr>
                <w:rFonts w:ascii="標楷體" w:eastAsia="標楷體" w:hAnsi="標楷體" w:cstheme="minorBidi" w:hint="eastAsia"/>
                <w:szCs w:val="28"/>
              </w:rPr>
              <w:t>前項路角地加成原則若實際情形特殊，需酌予變更者應擬具處理辦法，專案陳報本局核定。</w:t>
            </w:r>
          </w:p>
          <w:p w:rsidR="00A77C7E" w:rsidRPr="001D7C42" w:rsidRDefault="00A77C7E" w:rsidP="00C359EF">
            <w:pPr>
              <w:pStyle w:val="a3"/>
              <w:numPr>
                <w:ilvl w:val="0"/>
                <w:numId w:val="11"/>
              </w:numPr>
              <w:jc w:val="both"/>
              <w:rPr>
                <w:rFonts w:ascii="標楷體" w:eastAsia="標楷體" w:hAnsi="標楷體"/>
                <w:szCs w:val="28"/>
              </w:rPr>
            </w:pPr>
            <w:r w:rsidRPr="001D7C42">
              <w:rPr>
                <w:rFonts w:ascii="標楷體" w:eastAsia="標楷體" w:hAnsi="標楷體" w:hint="eastAsia"/>
                <w:szCs w:val="28"/>
              </w:rPr>
              <w:lastRenderedPageBreak/>
              <w:t>路角地如因陸橋、地下道出入口或其他路障而影響其利用價值時，應依前項標準計算該路角地單價後再酌以減成補正之；其減成補正乘數以二成為限。</w:t>
            </w:r>
          </w:p>
          <w:p w:rsidR="00A77C7E" w:rsidRPr="001D7C42" w:rsidRDefault="00A77C7E" w:rsidP="00C359EF">
            <w:pPr>
              <w:jc w:val="both"/>
              <w:rPr>
                <w:rFonts w:ascii="標楷體" w:eastAsia="標楷體" w:hAnsi="標楷體"/>
                <w:szCs w:val="24"/>
              </w:rPr>
            </w:pPr>
            <w:r w:rsidRPr="001D7C42">
              <w:rPr>
                <w:rFonts w:ascii="標楷體" w:eastAsia="標楷體" w:hAnsi="標楷體" w:hint="eastAsia"/>
                <w:szCs w:val="24"/>
              </w:rPr>
              <w:t>(三)、袋地</w:t>
            </w:r>
          </w:p>
          <w:p w:rsidR="00A77C7E" w:rsidRPr="001D7C42" w:rsidRDefault="00A77C7E" w:rsidP="00C359EF">
            <w:pPr>
              <w:numPr>
                <w:ilvl w:val="0"/>
                <w:numId w:val="19"/>
              </w:numPr>
              <w:jc w:val="both"/>
              <w:rPr>
                <w:rFonts w:ascii="標楷體" w:eastAsia="標楷體" w:hAnsi="標楷體"/>
                <w:szCs w:val="24"/>
              </w:rPr>
            </w:pPr>
            <w:r w:rsidRPr="001D7C42">
              <w:rPr>
                <w:rFonts w:ascii="標楷體" w:eastAsia="標楷體" w:hAnsi="標楷體" w:hint="eastAsia"/>
                <w:szCs w:val="24"/>
              </w:rPr>
              <w:t>袋地係指裡地線內不直接臨街之土地（騎樓用地與次宗土地視為第一宗土地）。</w:t>
            </w:r>
          </w:p>
          <w:p w:rsidR="00A77C7E" w:rsidRPr="001D7C42" w:rsidRDefault="00A77C7E" w:rsidP="00C359EF">
            <w:pPr>
              <w:numPr>
                <w:ilvl w:val="0"/>
                <w:numId w:val="19"/>
              </w:numPr>
              <w:jc w:val="both"/>
              <w:rPr>
                <w:rFonts w:ascii="標楷體" w:eastAsia="標楷體" w:hAnsi="標楷體"/>
                <w:szCs w:val="24"/>
              </w:rPr>
            </w:pPr>
            <w:r w:rsidRPr="001D7C42">
              <w:rPr>
                <w:rFonts w:ascii="標楷體" w:eastAsia="標楷體" w:hAnsi="標楷體" w:hint="eastAsia"/>
                <w:szCs w:val="24"/>
              </w:rPr>
              <w:t>袋地地價按路線價之百分之六十五計算。</w:t>
            </w:r>
            <w:r w:rsidRPr="001D7C42">
              <w:rPr>
                <w:rFonts w:ascii="標楷體" w:eastAsia="標楷體" w:hAnsi="標楷體"/>
                <w:szCs w:val="24"/>
              </w:rPr>
              <w:t xml:space="preserve"> </w:t>
            </w:r>
          </w:p>
          <w:p w:rsidR="00A77C7E" w:rsidRPr="001D7C42" w:rsidRDefault="00A77C7E" w:rsidP="00C359EF">
            <w:pPr>
              <w:numPr>
                <w:ilvl w:val="0"/>
                <w:numId w:val="19"/>
              </w:numPr>
              <w:jc w:val="both"/>
              <w:rPr>
                <w:rFonts w:ascii="標楷體" w:eastAsia="標楷體" w:hAnsi="標楷體"/>
                <w:szCs w:val="28"/>
              </w:rPr>
            </w:pPr>
            <w:r w:rsidRPr="001D7C42">
              <w:rPr>
                <w:rFonts w:ascii="標楷體" w:eastAsia="標楷體" w:hAnsi="標楷體" w:hint="eastAsia"/>
                <w:szCs w:val="24"/>
              </w:rPr>
              <w:t>袋地地價計算結果低於裡地區段地價者，以裡地區段地價為其宗地地價。</w:t>
            </w:r>
          </w:p>
          <w:p w:rsidR="00A77C7E" w:rsidRPr="001D7C42" w:rsidRDefault="00A77C7E" w:rsidP="00C359EF">
            <w:pPr>
              <w:jc w:val="both"/>
              <w:rPr>
                <w:rFonts w:ascii="標楷體" w:eastAsia="標楷體" w:hAnsi="標楷體"/>
                <w:szCs w:val="28"/>
              </w:rPr>
            </w:pPr>
          </w:p>
        </w:tc>
        <w:tc>
          <w:tcPr>
            <w:tcW w:w="3260" w:type="dxa"/>
          </w:tcPr>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lastRenderedPageBreak/>
              <w:t>五、各宗土地單位地價視其位置與臨街深度分別依下列方法計算之。</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(一)、臨街地</w:t>
            </w:r>
          </w:p>
          <w:tbl>
            <w:tblPr>
              <w:tblW w:w="4882" w:type="pct"/>
              <w:tblCellSpacing w:w="0" w:type="dxa"/>
              <w:tblBorders>
                <w:top w:val="outset" w:sz="6" w:space="0" w:color="9966FF"/>
                <w:left w:val="outset" w:sz="6" w:space="0" w:color="9966FF"/>
                <w:bottom w:val="outset" w:sz="6" w:space="0" w:color="9966FF"/>
                <w:right w:val="outset" w:sz="6" w:space="0" w:color="9966FF"/>
              </w:tblBorders>
              <w:tblLayout w:type="fixed"/>
              <w:tblCellMar>
                <w:top w:w="15" w:type="dxa"/>
                <w:left w:w="15" w:type="dxa"/>
                <w:bottom w:w="15" w:type="dxa"/>
                <w:right w:w="15" w:type="dxa"/>
              </w:tblCellMar>
              <w:tblLook w:val="0000" w:firstRow="0" w:lastRow="0" w:firstColumn="0" w:lastColumn="0" w:noHBand="0" w:noVBand="0"/>
            </w:tblPr>
            <w:tblGrid>
              <w:gridCol w:w="2078"/>
              <w:gridCol w:w="1035"/>
            </w:tblGrid>
            <w:tr w:rsidR="00A77C7E" w:rsidRPr="001D7C42" w:rsidTr="00C359EF">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臨街深度</w:t>
                  </w:r>
                </w:p>
              </w:tc>
              <w:tc>
                <w:tcPr>
                  <w:tcW w:w="1663"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kern w:val="0"/>
                      <w:sz w:val="28"/>
                      <w:szCs w:val="28"/>
                    </w:rPr>
                    <w:t>指 數（﹪）</w:t>
                  </w:r>
                </w:p>
              </w:tc>
            </w:tr>
            <w:tr w:rsidR="00A77C7E" w:rsidRPr="001D7C42" w:rsidTr="00C359EF">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kern w:val="0"/>
                      <w:sz w:val="28"/>
                      <w:szCs w:val="28"/>
                    </w:rPr>
                    <w:t>未</w:t>
                  </w:r>
                  <w:r w:rsidRPr="001D7C42">
                    <w:rPr>
                      <w:rFonts w:ascii="標楷體" w:eastAsia="標楷體" w:hAnsi="標楷體" w:cs="新細明體" w:hint="eastAsia"/>
                      <w:kern w:val="0"/>
                      <w:sz w:val="28"/>
                      <w:szCs w:val="28"/>
                    </w:rPr>
                    <w:t>達12</w:t>
                  </w:r>
                  <w:r w:rsidRPr="001D7C42">
                    <w:rPr>
                      <w:rFonts w:ascii="標楷體" w:eastAsia="標楷體" w:hAnsi="標楷體" w:cs="新細明體"/>
                      <w:kern w:val="0"/>
                      <w:sz w:val="28"/>
                      <w:szCs w:val="28"/>
                    </w:rPr>
                    <w:t>公尺</w:t>
                  </w:r>
                </w:p>
              </w:tc>
              <w:tc>
                <w:tcPr>
                  <w:tcW w:w="1663"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110</w:t>
                  </w:r>
                </w:p>
              </w:tc>
            </w:tr>
            <w:tr w:rsidR="00A77C7E" w:rsidRPr="001D7C42" w:rsidTr="00C359EF">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滿12公尺未達15公尺</w:t>
                  </w:r>
                </w:p>
              </w:tc>
              <w:tc>
                <w:tcPr>
                  <w:tcW w:w="1663"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105</w:t>
                  </w:r>
                </w:p>
              </w:tc>
            </w:tr>
            <w:tr w:rsidR="00A77C7E" w:rsidRPr="001D7C42" w:rsidTr="00C359EF">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滿15公尺未達18公尺</w:t>
                  </w:r>
                </w:p>
              </w:tc>
              <w:tc>
                <w:tcPr>
                  <w:tcW w:w="1663" w:type="pct"/>
                  <w:tcBorders>
                    <w:top w:val="outset" w:sz="6" w:space="0" w:color="9966FF"/>
                    <w:left w:val="outset" w:sz="6" w:space="0" w:color="9966FF"/>
                    <w:bottom w:val="outset" w:sz="6" w:space="0" w:color="9966FF"/>
                    <w:right w:val="outset" w:sz="6" w:space="0" w:color="9966FF"/>
                  </w:tcBorders>
                  <w:vAlign w:val="center"/>
                </w:tcPr>
                <w:p w:rsidR="00A77C7E" w:rsidRPr="001D7C42" w:rsidRDefault="00A77C7E" w:rsidP="00C359EF">
                  <w:pPr>
                    <w:widowControl/>
                    <w:spacing w:line="460" w:lineRule="exact"/>
                    <w:jc w:val="both"/>
                    <w:rPr>
                      <w:rFonts w:ascii="標楷體" w:eastAsia="標楷體" w:hAnsi="標楷體" w:cs="新細明體"/>
                      <w:kern w:val="0"/>
                      <w:sz w:val="28"/>
                      <w:szCs w:val="28"/>
                    </w:rPr>
                  </w:pPr>
                  <w:r w:rsidRPr="001D7C42">
                    <w:rPr>
                      <w:rFonts w:ascii="標楷體" w:eastAsia="標楷體" w:hAnsi="標楷體" w:cs="新細明體" w:hint="eastAsia"/>
                      <w:kern w:val="0"/>
                      <w:sz w:val="28"/>
                      <w:szCs w:val="28"/>
                    </w:rPr>
                    <w:t>100</w:t>
                  </w:r>
                </w:p>
              </w:tc>
            </w:tr>
          </w:tbl>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1、臨街地深度未達裡地線者，依上表所列指數計算之(見圖例一1.2.3.)。前開裡地線之標準深度以距離臨街線十八公尺為準。</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2、平行四邊形之宗地以其高度為臨街深度，按臨街深度指數計算其單價(見圖例二4.)。</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3、平行邊與臨街線一致之梯形宗地以其高度為臨街深度，按臨街深度指數求得其每平方公尺單價，再視其上下兩邊長短之比例及利用價值增減補正之，其補正之數額以不超過原計算之單價</w:t>
            </w:r>
            <w:r w:rsidRPr="001D7C42">
              <w:rPr>
                <w:rFonts w:ascii="標楷體" w:eastAsia="標楷體" w:hAnsi="標楷體" w:hint="eastAsia"/>
                <w:szCs w:val="28"/>
              </w:rPr>
              <w:lastRenderedPageBreak/>
              <w:t>二成為限；平行邊與臨街線垂直之梯形以兩邊中點之連線為臨街深度，按臨街深度指數計算其每平方公尺之單價，不再增減補正(見圖例二5.6.10.)。</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4、正三角形(三角形之一邊為臨街線者)之宗地以高度二分之一為臨街深度，按臨街深度指數計算其單價(見圖例二7.)</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5、逆三角形(三角形之頂點在臨街線者)之宗地，比照袋地計算其單價(見圖例二8.)。</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6、街廓縱深在三十六公尺以下者，應以中間線分前後兩部分，分別按其深度計算其臨街單價(見圖例三11.)。</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7、宗地深度較深超過裡地線者，其每平方公尺之單價與臨街地單價按面積比例平均計算其單價(見圖例二9.)。</w:t>
            </w:r>
          </w:p>
          <w:p w:rsidR="00A77C7E" w:rsidRPr="001D7C42" w:rsidRDefault="00A77C7E" w:rsidP="00C359EF">
            <w:pPr>
              <w:ind w:left="408" w:hangingChars="170" w:hanging="408"/>
              <w:jc w:val="both"/>
              <w:rPr>
                <w:rFonts w:ascii="標楷體" w:eastAsia="標楷體" w:hAnsi="標楷體"/>
                <w:szCs w:val="28"/>
              </w:rPr>
            </w:pPr>
            <w:r w:rsidRPr="001D7C42">
              <w:rPr>
                <w:rFonts w:ascii="標楷體" w:eastAsia="標楷體" w:hAnsi="標楷體" w:hint="eastAsia"/>
                <w:szCs w:val="28"/>
              </w:rPr>
              <w:t>(二)、路角地：</w:t>
            </w:r>
          </w:p>
          <w:p w:rsidR="00A77C7E" w:rsidRPr="001D7C42" w:rsidRDefault="00A77C7E" w:rsidP="00C359EF">
            <w:pPr>
              <w:pStyle w:val="ab"/>
              <w:numPr>
                <w:ilvl w:val="0"/>
                <w:numId w:val="13"/>
              </w:numPr>
              <w:ind w:leftChars="0"/>
              <w:jc w:val="both"/>
              <w:rPr>
                <w:rFonts w:ascii="標楷體" w:eastAsia="標楷體" w:hAnsi="標楷體"/>
              </w:rPr>
            </w:pPr>
            <w:r w:rsidRPr="001D7C42">
              <w:rPr>
                <w:rFonts w:ascii="標楷體" w:eastAsia="標楷體" w:hAnsi="標楷體" w:hint="eastAsia"/>
              </w:rPr>
              <w:t>路角地之地價除依正街之臨街深度按臨街深度指數計算其單價後，並斟酌加計旁街地價。加計之方法以縱橫臨街線之交叉點起每四點五公尺為一級距依序加計旁街路線價之</w:t>
            </w:r>
            <w:r w:rsidRPr="00B97FAA">
              <w:rPr>
                <w:rFonts w:ascii="標楷體" w:eastAsia="標楷體" w:hAnsi="標楷體" w:hint="eastAsia"/>
              </w:rPr>
              <w:t>二成、一成</w:t>
            </w:r>
            <w:r w:rsidRPr="001D7C42">
              <w:rPr>
                <w:rFonts w:ascii="標楷體" w:eastAsia="標楷體" w:hAnsi="標楷體" w:hint="eastAsia"/>
              </w:rPr>
              <w:t>(見圖例四12.、13.)。前項路角地加成原則若實際情形特殊，需酌予變更者應擬具處理辦法，專案陳報本局核定。</w:t>
            </w:r>
          </w:p>
          <w:p w:rsidR="00A77C7E" w:rsidRPr="001D7C42" w:rsidRDefault="00A77C7E" w:rsidP="00C359EF">
            <w:pPr>
              <w:pStyle w:val="ab"/>
              <w:numPr>
                <w:ilvl w:val="0"/>
                <w:numId w:val="13"/>
              </w:numPr>
              <w:ind w:leftChars="0"/>
              <w:jc w:val="both"/>
              <w:rPr>
                <w:rFonts w:ascii="標楷體" w:eastAsia="標楷體" w:hAnsi="標楷體"/>
              </w:rPr>
            </w:pPr>
            <w:r w:rsidRPr="001D7C42">
              <w:rPr>
                <w:rFonts w:ascii="標楷體" w:eastAsia="標楷體" w:hAnsi="標楷體" w:hint="eastAsia"/>
              </w:rPr>
              <w:t>路角地如因陸橋、地下道</w:t>
            </w:r>
            <w:r w:rsidRPr="001D7C42">
              <w:rPr>
                <w:rFonts w:ascii="標楷體" w:eastAsia="標楷體" w:hAnsi="標楷體" w:hint="eastAsia"/>
              </w:rPr>
              <w:lastRenderedPageBreak/>
              <w:t>出入口或其他路障而影響其利用價值時，應依前項標準計算該路角地單價後再酌以減成補正之；其減成補正乘數以二成為限。</w:t>
            </w:r>
          </w:p>
          <w:p w:rsidR="00A77C7E" w:rsidRPr="001D7C42" w:rsidRDefault="00A77C7E" w:rsidP="00C359EF">
            <w:pPr>
              <w:jc w:val="both"/>
              <w:rPr>
                <w:rFonts w:ascii="標楷體" w:eastAsia="標楷體" w:hAnsi="標楷體"/>
                <w:szCs w:val="24"/>
              </w:rPr>
            </w:pPr>
            <w:r w:rsidRPr="001D7C42">
              <w:rPr>
                <w:rFonts w:ascii="標楷體" w:eastAsia="標楷體" w:hAnsi="標楷體" w:hint="eastAsia"/>
                <w:szCs w:val="24"/>
              </w:rPr>
              <w:t>(三)、袋地</w:t>
            </w:r>
          </w:p>
          <w:p w:rsidR="00A77C7E" w:rsidRPr="001D7C42" w:rsidRDefault="00A77C7E" w:rsidP="00C359EF">
            <w:pPr>
              <w:pStyle w:val="ab"/>
              <w:numPr>
                <w:ilvl w:val="0"/>
                <w:numId w:val="20"/>
              </w:numPr>
              <w:ind w:leftChars="0"/>
              <w:jc w:val="both"/>
              <w:rPr>
                <w:rFonts w:ascii="標楷體" w:eastAsia="標楷體" w:hAnsi="標楷體"/>
                <w:szCs w:val="24"/>
              </w:rPr>
            </w:pPr>
            <w:r w:rsidRPr="001D7C42">
              <w:rPr>
                <w:rFonts w:ascii="標楷體" w:eastAsia="標楷體" w:hAnsi="標楷體" w:hint="eastAsia"/>
                <w:szCs w:val="24"/>
              </w:rPr>
              <w:t>袋地係指裡地線內不直接臨街之土地（騎樓用地與次宗土地視為第一宗土地）。</w:t>
            </w:r>
          </w:p>
          <w:p w:rsidR="00A77C7E" w:rsidRPr="001D7C42" w:rsidRDefault="00A77C7E" w:rsidP="00C359EF">
            <w:pPr>
              <w:pStyle w:val="ab"/>
              <w:numPr>
                <w:ilvl w:val="0"/>
                <w:numId w:val="20"/>
              </w:numPr>
              <w:ind w:leftChars="0"/>
              <w:jc w:val="both"/>
              <w:rPr>
                <w:rFonts w:ascii="標楷體" w:eastAsia="標楷體" w:hAnsi="標楷體"/>
                <w:szCs w:val="24"/>
              </w:rPr>
            </w:pPr>
            <w:r w:rsidRPr="001D7C42">
              <w:rPr>
                <w:rFonts w:ascii="標楷體" w:eastAsia="標楷體" w:hAnsi="標楷體" w:hint="eastAsia"/>
                <w:szCs w:val="24"/>
              </w:rPr>
              <w:t>袋地地價按路線價之百分之六十五計算。</w:t>
            </w:r>
            <w:r w:rsidRPr="001D7C42">
              <w:rPr>
                <w:rFonts w:ascii="標楷體" w:eastAsia="標楷體" w:hAnsi="標楷體"/>
                <w:szCs w:val="24"/>
              </w:rPr>
              <w:t xml:space="preserve"> </w:t>
            </w:r>
          </w:p>
          <w:p w:rsidR="00A77C7E" w:rsidRPr="001D7C42" w:rsidRDefault="00A77C7E" w:rsidP="00C359EF">
            <w:pPr>
              <w:pStyle w:val="ab"/>
              <w:numPr>
                <w:ilvl w:val="0"/>
                <w:numId w:val="20"/>
              </w:numPr>
              <w:ind w:leftChars="0"/>
              <w:jc w:val="both"/>
              <w:rPr>
                <w:rFonts w:ascii="標楷體" w:eastAsia="標楷體" w:hAnsi="標楷體"/>
              </w:rPr>
            </w:pPr>
            <w:r w:rsidRPr="001D7C42">
              <w:rPr>
                <w:rFonts w:ascii="標楷體" w:eastAsia="標楷體" w:hAnsi="標楷體" w:hint="eastAsia"/>
                <w:szCs w:val="24"/>
              </w:rPr>
              <w:t>袋地地價計算結果低於裡地區段地價者，以裡地區段地價為其宗地地價。</w:t>
            </w:r>
          </w:p>
          <w:p w:rsidR="00A77C7E" w:rsidRPr="001D7C42" w:rsidRDefault="00A77C7E" w:rsidP="00C359EF">
            <w:pPr>
              <w:pStyle w:val="ab"/>
              <w:numPr>
                <w:ilvl w:val="0"/>
                <w:numId w:val="20"/>
              </w:numPr>
              <w:ind w:leftChars="0"/>
              <w:jc w:val="both"/>
              <w:rPr>
                <w:rFonts w:ascii="標楷體" w:eastAsia="標楷體" w:hAnsi="標楷體"/>
              </w:rPr>
            </w:pPr>
            <w:r w:rsidRPr="001D7C42">
              <w:rPr>
                <w:rFonts w:ascii="標楷體" w:eastAsia="標楷體" w:hAnsi="標楷體" w:hint="eastAsia"/>
                <w:szCs w:val="24"/>
              </w:rPr>
              <w:t>騎樓地已分割者，應併同後面一宗土地計算其臨街深度，且後面一宗土地應視為臨街地。</w:t>
            </w:r>
          </w:p>
        </w:tc>
        <w:tc>
          <w:tcPr>
            <w:tcW w:w="2552" w:type="dxa"/>
          </w:tcPr>
          <w:p w:rsidR="00A77C7E" w:rsidRPr="001D7C42" w:rsidRDefault="00A77C7E" w:rsidP="00C359EF">
            <w:pPr>
              <w:pStyle w:val="ab"/>
              <w:numPr>
                <w:ilvl w:val="0"/>
                <w:numId w:val="16"/>
              </w:numPr>
              <w:ind w:leftChars="0"/>
              <w:jc w:val="both"/>
              <w:rPr>
                <w:rFonts w:ascii="標楷體" w:eastAsia="標楷體" w:hAnsi="標楷體"/>
              </w:rPr>
            </w:pPr>
            <w:r w:rsidRPr="001D7C42">
              <w:rPr>
                <w:rFonts w:ascii="標楷體" w:eastAsia="標楷體" w:hAnsi="標楷體" w:hint="eastAsia"/>
              </w:rPr>
              <w:lastRenderedPageBreak/>
              <w:t>路角地因位置條件佳、商業效益高，故除依正街之臨街深度按臨街深度指數計算其單價後，並斟酌加計旁街地價。</w:t>
            </w:r>
          </w:p>
          <w:p w:rsidR="00A77C7E" w:rsidRPr="001D7C42" w:rsidRDefault="00A77C7E" w:rsidP="00C359EF">
            <w:pPr>
              <w:pStyle w:val="ab"/>
              <w:numPr>
                <w:ilvl w:val="0"/>
                <w:numId w:val="16"/>
              </w:numPr>
              <w:ind w:leftChars="0"/>
              <w:jc w:val="both"/>
              <w:rPr>
                <w:rFonts w:ascii="標楷體" w:eastAsia="標楷體" w:hAnsi="標楷體"/>
              </w:rPr>
            </w:pPr>
            <w:r w:rsidRPr="001D7C42">
              <w:rPr>
                <w:rFonts w:ascii="標楷體" w:eastAsia="標楷體" w:hAnsi="標楷體" w:hint="eastAsia"/>
              </w:rPr>
              <w:t>現行規定路角地正街以其路線價按臨街深度指數之不同，分別加計百分十或百分之五，而路角地旁街卻加計其路線價之百分二十或百分之十，致旁街對宗地單價影響大於正街，與實際情況不符。</w:t>
            </w:r>
          </w:p>
          <w:p w:rsidR="00A77C7E" w:rsidRDefault="00A77C7E" w:rsidP="00C359EF">
            <w:pPr>
              <w:pStyle w:val="ab"/>
              <w:numPr>
                <w:ilvl w:val="0"/>
                <w:numId w:val="16"/>
              </w:numPr>
              <w:ind w:leftChars="0"/>
              <w:jc w:val="both"/>
              <w:rPr>
                <w:rFonts w:ascii="標楷體" w:eastAsia="標楷體" w:hAnsi="標楷體"/>
              </w:rPr>
            </w:pPr>
            <w:r w:rsidRPr="001D7C42">
              <w:rPr>
                <w:rFonts w:ascii="標楷體" w:eastAsia="標楷體" w:hAnsi="標楷體" w:hint="eastAsia"/>
              </w:rPr>
              <w:t>為使路角地正街、旁街路線價對宗地單價之影響程度符合實際，爰將路角地每四點五公尺為一級距依序加計旁街路線價之二成、一成分別修正為百分之十及百分之五。</w:t>
            </w:r>
          </w:p>
          <w:p w:rsidR="00A77C7E" w:rsidRPr="001D7C42" w:rsidRDefault="00A77C7E" w:rsidP="00C359EF">
            <w:pPr>
              <w:pStyle w:val="ab"/>
              <w:numPr>
                <w:ilvl w:val="0"/>
                <w:numId w:val="16"/>
              </w:numPr>
              <w:ind w:leftChars="0"/>
              <w:jc w:val="both"/>
              <w:rPr>
                <w:rFonts w:ascii="標楷體" w:eastAsia="標楷體" w:hAnsi="標楷體"/>
              </w:rPr>
            </w:pPr>
            <w:r>
              <w:rPr>
                <w:rFonts w:ascii="標楷體" w:eastAsia="標楷體" w:hAnsi="標楷體" w:hint="eastAsia"/>
              </w:rPr>
              <w:t>第三款第4目</w:t>
            </w:r>
            <w:r w:rsidRPr="00736932">
              <w:rPr>
                <w:rFonts w:ascii="標楷體" w:eastAsia="標楷體" w:hAnsi="標楷體" w:hint="eastAsia"/>
              </w:rPr>
              <w:t>刪除</w:t>
            </w:r>
            <w:r>
              <w:rPr>
                <w:rFonts w:ascii="標楷體" w:eastAsia="標楷體" w:hAnsi="標楷體" w:hint="eastAsia"/>
              </w:rPr>
              <w:t>，為避免與新增第六</w:t>
            </w:r>
            <w:r>
              <w:rPr>
                <w:rFonts w:ascii="標楷體" w:eastAsia="標楷體" w:hAnsi="標楷體" w:hint="eastAsia"/>
              </w:rPr>
              <w:lastRenderedPageBreak/>
              <w:t>點規定重複，爰刪除本目</w:t>
            </w:r>
            <w:r w:rsidRPr="00736932">
              <w:rPr>
                <w:rFonts w:ascii="標楷體" w:eastAsia="標楷體" w:hAnsi="標楷體" w:hint="eastAsia"/>
              </w:rPr>
              <w:t>。</w:t>
            </w:r>
          </w:p>
        </w:tc>
      </w:tr>
      <w:tr w:rsidR="00A77C7E" w:rsidRPr="001D7C42" w:rsidTr="00C359EF">
        <w:trPr>
          <w:trHeight w:val="1081"/>
        </w:trPr>
        <w:tc>
          <w:tcPr>
            <w:tcW w:w="3257" w:type="dxa"/>
          </w:tcPr>
          <w:p w:rsidR="00A77C7E" w:rsidRPr="001D7C42" w:rsidRDefault="00A77C7E" w:rsidP="00C359EF">
            <w:pPr>
              <w:pStyle w:val="a3"/>
              <w:jc w:val="both"/>
              <w:rPr>
                <w:rFonts w:ascii="標楷體" w:eastAsia="標楷體" w:hAnsi="標楷體"/>
                <w:szCs w:val="28"/>
              </w:rPr>
            </w:pPr>
            <w:r w:rsidRPr="001D7C42">
              <w:rPr>
                <w:rFonts w:ascii="標楷體" w:eastAsia="標楷體" w:hAnsi="標楷體" w:hint="eastAsia"/>
                <w:szCs w:val="24"/>
              </w:rPr>
              <w:lastRenderedPageBreak/>
              <w:t>六、</w:t>
            </w:r>
            <w:r w:rsidRPr="00B97FAA">
              <w:rPr>
                <w:rFonts w:ascii="標楷體" w:eastAsia="標楷體" w:hAnsi="標楷體" w:hint="eastAsia"/>
                <w:szCs w:val="24"/>
                <w:u w:val="single"/>
              </w:rPr>
              <w:t>與騎樓用地、無遮簷人行道作同一建築使用之各宗土地，或同一所有權人全部或部分在裡地線以內者，該各宗土地，視為同一宗土地，其單位地價相等。</w:t>
            </w:r>
          </w:p>
        </w:tc>
        <w:tc>
          <w:tcPr>
            <w:tcW w:w="3260" w:type="dxa"/>
          </w:tcPr>
          <w:p w:rsidR="00A77C7E" w:rsidRPr="00736932" w:rsidRDefault="00A77C7E" w:rsidP="00C359EF">
            <w:pPr>
              <w:jc w:val="both"/>
              <w:rPr>
                <w:rFonts w:ascii="標楷體" w:eastAsia="標楷體" w:hAnsi="標楷體"/>
                <w:szCs w:val="24"/>
              </w:rPr>
            </w:pPr>
          </w:p>
        </w:tc>
        <w:tc>
          <w:tcPr>
            <w:tcW w:w="2552" w:type="dxa"/>
          </w:tcPr>
          <w:p w:rsidR="00A77C7E" w:rsidRPr="00736932" w:rsidRDefault="00A77C7E" w:rsidP="00C359EF">
            <w:pPr>
              <w:pStyle w:val="ab"/>
              <w:numPr>
                <w:ilvl w:val="0"/>
                <w:numId w:val="18"/>
              </w:numPr>
              <w:ind w:leftChars="0"/>
              <w:jc w:val="both"/>
              <w:rPr>
                <w:rFonts w:ascii="標楷體" w:eastAsia="標楷體" w:hAnsi="標楷體"/>
                <w:szCs w:val="24"/>
              </w:rPr>
            </w:pPr>
            <w:r w:rsidRPr="001D7C42">
              <w:rPr>
                <w:rFonts w:ascii="標楷體" w:eastAsia="標楷體" w:hAnsi="標楷體" w:hint="eastAsia"/>
              </w:rPr>
              <w:t>本點新增。</w:t>
            </w:r>
          </w:p>
          <w:p w:rsidR="00A77C7E" w:rsidRPr="00736932" w:rsidRDefault="00A77C7E" w:rsidP="00C359EF">
            <w:pPr>
              <w:pStyle w:val="ab"/>
              <w:numPr>
                <w:ilvl w:val="0"/>
                <w:numId w:val="18"/>
              </w:numPr>
              <w:ind w:leftChars="0"/>
              <w:jc w:val="both"/>
              <w:rPr>
                <w:rFonts w:ascii="標楷體" w:eastAsia="標楷體" w:hAnsi="標楷體"/>
                <w:szCs w:val="24"/>
              </w:rPr>
            </w:pPr>
            <w:r w:rsidRPr="001D7C42">
              <w:rPr>
                <w:rFonts w:ascii="標楷體" w:eastAsia="標楷體" w:hAnsi="標楷體" w:hint="eastAsia"/>
              </w:rPr>
              <w:t>蓋因與騎樓用地、無遮簷人行道作同一建築使用之各宗土地，或同一所有權人全部或部分在裡地線以內者，因共同發揮使用效益，應使其單價一致，爰增訂本點。</w:t>
            </w:r>
          </w:p>
        </w:tc>
      </w:tr>
    </w:tbl>
    <w:p w:rsidR="00A77C7E" w:rsidRPr="00CD1DD5" w:rsidRDefault="00A77C7E" w:rsidP="00A77C7E">
      <w:pPr>
        <w:jc w:val="both"/>
        <w:rPr>
          <w:rFonts w:ascii="標楷體" w:eastAsia="標楷體" w:hAnsi="標楷體"/>
          <w:sz w:val="28"/>
          <w:szCs w:val="28"/>
        </w:rPr>
      </w:pPr>
    </w:p>
    <w:p w:rsidR="00B97FAA" w:rsidRDefault="00B97FAA">
      <w:pPr>
        <w:widowControl/>
        <w:rPr>
          <w:rFonts w:ascii="標楷體" w:eastAsia="標楷體" w:hAnsi="標楷體" w:cs="Times New Roman"/>
          <w:color w:val="000000"/>
          <w:sz w:val="28"/>
          <w:szCs w:val="28"/>
        </w:rPr>
      </w:pPr>
    </w:p>
    <w:p w:rsidR="00B97FAA" w:rsidRDefault="00B97FAA">
      <w:pPr>
        <w:widowControl/>
        <w:rPr>
          <w:rFonts w:ascii="標楷體" w:eastAsia="標楷體" w:hAnsi="標楷體" w:cs="Times New Roman"/>
          <w:color w:val="000000"/>
          <w:sz w:val="28"/>
          <w:szCs w:val="28"/>
        </w:rPr>
      </w:pPr>
      <w:r>
        <w:rPr>
          <w:rFonts w:ascii="標楷體" w:eastAsia="標楷體" w:hAnsi="標楷體" w:cs="Times New Roman"/>
          <w:color w:val="000000"/>
          <w:sz w:val="28"/>
          <w:szCs w:val="28"/>
        </w:rPr>
        <w:br w:type="page"/>
      </w:r>
    </w:p>
    <w:p w:rsidR="00B97FAA" w:rsidRPr="00B97FAA" w:rsidRDefault="00B97FAA" w:rsidP="00B97FAA">
      <w:pPr>
        <w:tabs>
          <w:tab w:val="center" w:pos="4535"/>
        </w:tabs>
        <w:spacing w:line="460" w:lineRule="exact"/>
        <w:rPr>
          <w:rFonts w:ascii="標楷體" w:eastAsia="標楷體" w:hAnsi="標楷體" w:cs="Times New Roman" w:hint="eastAsia"/>
          <w:sz w:val="40"/>
          <w:szCs w:val="32"/>
        </w:rPr>
      </w:pPr>
      <w:r w:rsidRPr="00B97FAA">
        <w:rPr>
          <w:rFonts w:ascii="標楷體" w:eastAsia="標楷體" w:hAnsi="標楷體" w:cs="Times New Roman" w:hint="eastAsia"/>
          <w:sz w:val="40"/>
          <w:szCs w:val="32"/>
        </w:rPr>
        <w:lastRenderedPageBreak/>
        <w:t>臺中市政府地政局辦理繁榮街道路線價區段宗地單位地價計算原則</w:t>
      </w:r>
    </w:p>
    <w:p w:rsidR="00B97FAA" w:rsidRPr="00B97FAA" w:rsidRDefault="00B97FAA" w:rsidP="00B97FAA">
      <w:pPr>
        <w:spacing w:line="460" w:lineRule="exact"/>
        <w:ind w:left="616" w:hangingChars="220" w:hanging="616"/>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五、各宗土地單位地價視其位置與臨街深度分別依下列方法計算之。</w:t>
      </w:r>
    </w:p>
    <w:p w:rsidR="00B97FAA" w:rsidRPr="00B97FAA" w:rsidRDefault="00B97FAA" w:rsidP="00B97FAA">
      <w:pPr>
        <w:spacing w:line="460" w:lineRule="exact"/>
        <w:ind w:firstLineChars="200" w:firstLine="56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(一)、臨街地</w:t>
      </w:r>
    </w:p>
    <w:tbl>
      <w:tblPr>
        <w:tblW w:w="4882" w:type="pct"/>
        <w:tblCellSpacing w:w="0" w:type="dxa"/>
        <w:tblBorders>
          <w:top w:val="outset" w:sz="6" w:space="0" w:color="9966FF"/>
          <w:left w:val="outset" w:sz="6" w:space="0" w:color="9966FF"/>
          <w:bottom w:val="outset" w:sz="6" w:space="0" w:color="9966FF"/>
          <w:right w:val="outset" w:sz="6" w:space="0" w:color="9966FF"/>
        </w:tblBorders>
        <w:tblLayout w:type="fixed"/>
        <w:tblCellMar>
          <w:top w:w="15" w:type="dxa"/>
          <w:left w:w="15" w:type="dxa"/>
          <w:bottom w:w="15" w:type="dxa"/>
          <w:right w:w="15" w:type="dxa"/>
        </w:tblCellMar>
        <w:tblLook w:val="0000" w:firstRow="0" w:lastRow="0" w:firstColumn="0" w:lastColumn="0" w:noHBand="0" w:noVBand="0"/>
      </w:tblPr>
      <w:tblGrid>
        <w:gridCol w:w="5716"/>
        <w:gridCol w:w="2848"/>
      </w:tblGrid>
      <w:tr w:rsidR="00B97FAA" w:rsidRPr="00B97FAA" w:rsidTr="004008AC">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B97FAA" w:rsidRPr="00B97FAA" w:rsidRDefault="00B97FAA" w:rsidP="00B97FAA">
            <w:pPr>
              <w:widowControl/>
              <w:spacing w:line="460" w:lineRule="exact"/>
              <w:jc w:val="both"/>
              <w:rPr>
                <w:rFonts w:ascii="標楷體" w:eastAsia="標楷體" w:hAnsi="標楷體" w:cs="新細明體"/>
                <w:kern w:val="0"/>
                <w:sz w:val="28"/>
                <w:szCs w:val="28"/>
              </w:rPr>
            </w:pPr>
            <w:r w:rsidRPr="00B97FAA">
              <w:rPr>
                <w:rFonts w:ascii="標楷體" w:eastAsia="標楷體" w:hAnsi="標楷體" w:cs="新細明體" w:hint="eastAsia"/>
                <w:kern w:val="0"/>
                <w:sz w:val="28"/>
                <w:szCs w:val="28"/>
              </w:rPr>
              <w:t>臨街深度</w:t>
            </w:r>
          </w:p>
        </w:tc>
        <w:tc>
          <w:tcPr>
            <w:tcW w:w="1663" w:type="pct"/>
            <w:tcBorders>
              <w:top w:val="outset" w:sz="6" w:space="0" w:color="9966FF"/>
              <w:left w:val="outset" w:sz="6" w:space="0" w:color="9966FF"/>
              <w:bottom w:val="outset" w:sz="6" w:space="0" w:color="9966FF"/>
              <w:right w:val="outset" w:sz="6" w:space="0" w:color="9966FF"/>
            </w:tcBorders>
            <w:vAlign w:val="center"/>
          </w:tcPr>
          <w:p w:rsidR="00B97FAA" w:rsidRPr="00B97FAA" w:rsidRDefault="00B97FAA" w:rsidP="00B97FAA">
            <w:pPr>
              <w:widowControl/>
              <w:spacing w:line="460" w:lineRule="exact"/>
              <w:jc w:val="both"/>
              <w:rPr>
                <w:rFonts w:ascii="標楷體" w:eastAsia="標楷體" w:hAnsi="標楷體" w:cs="新細明體"/>
                <w:kern w:val="0"/>
                <w:sz w:val="28"/>
                <w:szCs w:val="28"/>
              </w:rPr>
            </w:pPr>
            <w:r w:rsidRPr="00B97FAA">
              <w:rPr>
                <w:rFonts w:ascii="標楷體" w:eastAsia="標楷體" w:hAnsi="標楷體" w:cs="新細明體"/>
                <w:kern w:val="0"/>
                <w:sz w:val="28"/>
                <w:szCs w:val="28"/>
              </w:rPr>
              <w:t>指 數（﹪）</w:t>
            </w:r>
          </w:p>
        </w:tc>
      </w:tr>
      <w:tr w:rsidR="00B97FAA" w:rsidRPr="00B97FAA" w:rsidTr="004008AC">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B97FAA" w:rsidRPr="00B97FAA" w:rsidRDefault="00B97FAA" w:rsidP="00B97FAA">
            <w:pPr>
              <w:widowControl/>
              <w:spacing w:line="460" w:lineRule="exact"/>
              <w:jc w:val="both"/>
              <w:rPr>
                <w:rFonts w:ascii="標楷體" w:eastAsia="標楷體" w:hAnsi="標楷體" w:cs="新細明體"/>
                <w:kern w:val="0"/>
                <w:sz w:val="28"/>
                <w:szCs w:val="28"/>
              </w:rPr>
            </w:pPr>
            <w:r w:rsidRPr="00B97FAA">
              <w:rPr>
                <w:rFonts w:ascii="標楷體" w:eastAsia="標楷體" w:hAnsi="標楷體" w:cs="新細明體"/>
                <w:kern w:val="0"/>
                <w:sz w:val="28"/>
                <w:szCs w:val="28"/>
              </w:rPr>
              <w:t>未</w:t>
            </w:r>
            <w:r w:rsidRPr="00B97FAA">
              <w:rPr>
                <w:rFonts w:ascii="標楷體" w:eastAsia="標楷體" w:hAnsi="標楷體" w:cs="新細明體" w:hint="eastAsia"/>
                <w:kern w:val="0"/>
                <w:sz w:val="28"/>
                <w:szCs w:val="28"/>
              </w:rPr>
              <w:t>達12</w:t>
            </w:r>
            <w:r w:rsidRPr="00B97FAA">
              <w:rPr>
                <w:rFonts w:ascii="標楷體" w:eastAsia="標楷體" w:hAnsi="標楷體" w:cs="新細明體"/>
                <w:kern w:val="0"/>
                <w:sz w:val="28"/>
                <w:szCs w:val="28"/>
              </w:rPr>
              <w:t>公尺</w:t>
            </w:r>
          </w:p>
        </w:tc>
        <w:tc>
          <w:tcPr>
            <w:tcW w:w="1663" w:type="pct"/>
            <w:tcBorders>
              <w:top w:val="outset" w:sz="6" w:space="0" w:color="9966FF"/>
              <w:left w:val="outset" w:sz="6" w:space="0" w:color="9966FF"/>
              <w:bottom w:val="outset" w:sz="6" w:space="0" w:color="9966FF"/>
              <w:right w:val="outset" w:sz="6" w:space="0" w:color="9966FF"/>
            </w:tcBorders>
            <w:vAlign w:val="center"/>
          </w:tcPr>
          <w:p w:rsidR="00B97FAA" w:rsidRPr="00B97FAA" w:rsidRDefault="00B97FAA" w:rsidP="00B97FAA">
            <w:pPr>
              <w:widowControl/>
              <w:spacing w:line="460" w:lineRule="exact"/>
              <w:jc w:val="both"/>
              <w:rPr>
                <w:rFonts w:ascii="標楷體" w:eastAsia="標楷體" w:hAnsi="標楷體" w:cs="新細明體"/>
                <w:kern w:val="0"/>
                <w:sz w:val="28"/>
                <w:szCs w:val="28"/>
              </w:rPr>
            </w:pPr>
            <w:r w:rsidRPr="00B97FAA">
              <w:rPr>
                <w:rFonts w:ascii="標楷體" w:eastAsia="標楷體" w:hAnsi="標楷體" w:cs="新細明體" w:hint="eastAsia"/>
                <w:kern w:val="0"/>
                <w:sz w:val="28"/>
                <w:szCs w:val="28"/>
              </w:rPr>
              <w:t>110</w:t>
            </w:r>
          </w:p>
        </w:tc>
      </w:tr>
      <w:tr w:rsidR="00B97FAA" w:rsidRPr="00B97FAA" w:rsidTr="004008AC">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B97FAA" w:rsidRPr="00B97FAA" w:rsidRDefault="00B97FAA" w:rsidP="00B97FAA">
            <w:pPr>
              <w:widowControl/>
              <w:spacing w:line="460" w:lineRule="exact"/>
              <w:jc w:val="both"/>
              <w:rPr>
                <w:rFonts w:ascii="標楷體" w:eastAsia="標楷體" w:hAnsi="標楷體" w:cs="新細明體"/>
                <w:kern w:val="0"/>
                <w:sz w:val="28"/>
                <w:szCs w:val="28"/>
              </w:rPr>
            </w:pPr>
            <w:r w:rsidRPr="00B97FAA">
              <w:rPr>
                <w:rFonts w:ascii="標楷體" w:eastAsia="標楷體" w:hAnsi="標楷體" w:cs="新細明體" w:hint="eastAsia"/>
                <w:kern w:val="0"/>
                <w:sz w:val="28"/>
                <w:szCs w:val="28"/>
              </w:rPr>
              <w:t>滿12公尺未達15公尺</w:t>
            </w:r>
          </w:p>
        </w:tc>
        <w:tc>
          <w:tcPr>
            <w:tcW w:w="1663" w:type="pct"/>
            <w:tcBorders>
              <w:top w:val="outset" w:sz="6" w:space="0" w:color="9966FF"/>
              <w:left w:val="outset" w:sz="6" w:space="0" w:color="9966FF"/>
              <w:bottom w:val="outset" w:sz="6" w:space="0" w:color="9966FF"/>
              <w:right w:val="outset" w:sz="6" w:space="0" w:color="9966FF"/>
            </w:tcBorders>
            <w:vAlign w:val="center"/>
          </w:tcPr>
          <w:p w:rsidR="00B97FAA" w:rsidRPr="00B97FAA" w:rsidRDefault="00B97FAA" w:rsidP="00B97FAA">
            <w:pPr>
              <w:widowControl/>
              <w:spacing w:line="460" w:lineRule="exact"/>
              <w:jc w:val="both"/>
              <w:rPr>
                <w:rFonts w:ascii="標楷體" w:eastAsia="標楷體" w:hAnsi="標楷體" w:cs="新細明體" w:hint="eastAsia"/>
                <w:kern w:val="0"/>
                <w:sz w:val="28"/>
                <w:szCs w:val="28"/>
              </w:rPr>
            </w:pPr>
            <w:r w:rsidRPr="00B97FAA">
              <w:rPr>
                <w:rFonts w:ascii="標楷體" w:eastAsia="標楷體" w:hAnsi="標楷體" w:cs="新細明體" w:hint="eastAsia"/>
                <w:kern w:val="0"/>
                <w:sz w:val="28"/>
                <w:szCs w:val="28"/>
              </w:rPr>
              <w:t>105</w:t>
            </w:r>
          </w:p>
        </w:tc>
      </w:tr>
      <w:tr w:rsidR="00B97FAA" w:rsidRPr="00B97FAA" w:rsidTr="004008AC">
        <w:trPr>
          <w:tblCellSpacing w:w="0" w:type="dxa"/>
        </w:trPr>
        <w:tc>
          <w:tcPr>
            <w:tcW w:w="3337" w:type="pct"/>
            <w:tcBorders>
              <w:top w:val="outset" w:sz="6" w:space="0" w:color="9966FF"/>
              <w:left w:val="outset" w:sz="6" w:space="0" w:color="9966FF"/>
              <w:bottom w:val="outset" w:sz="6" w:space="0" w:color="9966FF"/>
              <w:right w:val="outset" w:sz="6" w:space="0" w:color="9966FF"/>
            </w:tcBorders>
            <w:vAlign w:val="center"/>
          </w:tcPr>
          <w:p w:rsidR="00B97FAA" w:rsidRPr="00B97FAA" w:rsidRDefault="00B97FAA" w:rsidP="00B97FAA">
            <w:pPr>
              <w:widowControl/>
              <w:spacing w:line="460" w:lineRule="exact"/>
              <w:jc w:val="both"/>
              <w:rPr>
                <w:rFonts w:ascii="標楷體" w:eastAsia="標楷體" w:hAnsi="標楷體" w:cs="新細明體"/>
                <w:kern w:val="0"/>
                <w:sz w:val="28"/>
                <w:szCs w:val="28"/>
              </w:rPr>
            </w:pPr>
            <w:r w:rsidRPr="00B97FAA">
              <w:rPr>
                <w:rFonts w:ascii="標楷體" w:eastAsia="標楷體" w:hAnsi="標楷體" w:cs="新細明體" w:hint="eastAsia"/>
                <w:kern w:val="0"/>
                <w:sz w:val="28"/>
                <w:szCs w:val="28"/>
              </w:rPr>
              <w:t>滿15公尺未達18公尺</w:t>
            </w:r>
          </w:p>
        </w:tc>
        <w:tc>
          <w:tcPr>
            <w:tcW w:w="1663" w:type="pct"/>
            <w:tcBorders>
              <w:top w:val="outset" w:sz="6" w:space="0" w:color="9966FF"/>
              <w:left w:val="outset" w:sz="6" w:space="0" w:color="9966FF"/>
              <w:bottom w:val="outset" w:sz="6" w:space="0" w:color="9966FF"/>
              <w:right w:val="outset" w:sz="6" w:space="0" w:color="9966FF"/>
            </w:tcBorders>
            <w:vAlign w:val="center"/>
          </w:tcPr>
          <w:p w:rsidR="00B97FAA" w:rsidRPr="00B97FAA" w:rsidRDefault="00B97FAA" w:rsidP="00B97FAA">
            <w:pPr>
              <w:widowControl/>
              <w:spacing w:line="460" w:lineRule="exact"/>
              <w:jc w:val="both"/>
              <w:rPr>
                <w:rFonts w:ascii="標楷體" w:eastAsia="標楷體" w:hAnsi="標楷體" w:cs="新細明體"/>
                <w:kern w:val="0"/>
                <w:sz w:val="28"/>
                <w:szCs w:val="28"/>
              </w:rPr>
            </w:pPr>
            <w:r w:rsidRPr="00B97FAA">
              <w:rPr>
                <w:rFonts w:ascii="標楷體" w:eastAsia="標楷體" w:hAnsi="標楷體" w:cs="新細明體" w:hint="eastAsia"/>
                <w:kern w:val="0"/>
                <w:sz w:val="28"/>
                <w:szCs w:val="28"/>
              </w:rPr>
              <w:t>100</w:t>
            </w:r>
          </w:p>
        </w:tc>
      </w:tr>
    </w:tbl>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1、臨街地深度未達裡地線者，依上表所列指數計算之(見圖例一</w:t>
      </w:r>
      <w:smartTag w:uri="urn:schemas-microsoft-com:office:smarttags" w:element="chsdate">
        <w:smartTagPr>
          <w:attr w:name="Year" w:val="1899"/>
          <w:attr w:name="Month" w:val="12"/>
          <w:attr w:name="Day" w:val="30"/>
          <w:attr w:name="IsLunarDate" w:val="False"/>
          <w:attr w:name="IsROCDate" w:val="False"/>
        </w:smartTagPr>
        <w:r w:rsidRPr="00B97FAA">
          <w:rPr>
            <w:rFonts w:ascii="標楷體" w:eastAsia="標楷體" w:hAnsi="標楷體" w:cs="Times New Roman" w:hint="eastAsia"/>
            <w:sz w:val="28"/>
            <w:szCs w:val="28"/>
          </w:rPr>
          <w:t>1.2.3</w:t>
        </w:r>
      </w:smartTag>
      <w:r w:rsidRPr="00B97FAA">
        <w:rPr>
          <w:rFonts w:ascii="標楷體" w:eastAsia="標楷體" w:hAnsi="標楷體" w:cs="Times New Roman" w:hint="eastAsia"/>
          <w:sz w:val="28"/>
          <w:szCs w:val="28"/>
        </w:rPr>
        <w:t>.)。前開裡地線之標準深度以距離臨街線十八公尺為準。</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2、平行四邊形之宗地以其高度為臨街深度，按臨街深度指數計算其單價(見圖例二4.)。</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3、平行邊與臨街線一致之梯形宗地以其高度為臨街深度，按臨街深度指數求得其每平方公尺單價，再視其上下兩邊長短之比例及利用價值增減補正之，其補正之數額以不超過原計算之單價二成為限；平行邊與臨街線垂直之梯形以兩邊中點之連線為臨街深度，按臨街深度指數計算其每平方公尺之單價，不再增減補正(見圖例二5.6.10.)。</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4、正三角形(三角形之一邊為臨街線者)之宗地以高度二分之一為臨街深度，按臨街深度指數計算其單價(見圖例二7.)</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5、逆三角形(三角形之頂點在臨街線者)之宗地，比照袋地計算其單價(見圖例二8.)。</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6、街廓縱深在三十六公尺以下者，應以中間線分前後兩部分，分別按其深度計算其臨街單價(見圖例三11.)。</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7、宗地深度較深超過裡地線者，其每平方公尺之單價與臨街地單價按面積比例平均計算其單價(見圖例二9.)。</w:t>
      </w:r>
    </w:p>
    <w:p w:rsidR="00B97FAA" w:rsidRPr="00B97FAA" w:rsidRDefault="00B97FAA" w:rsidP="00B97FAA">
      <w:pPr>
        <w:spacing w:line="460" w:lineRule="exact"/>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(二)、路角地：</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1、路角地之地價除依正街之臨街深度按臨街深度指數計算其單價後，並斟酌加計旁街地價。加計之方法以縱橫臨街線之交叉點</w:t>
      </w:r>
      <w:r w:rsidRPr="00B97FAA">
        <w:rPr>
          <w:rFonts w:ascii="標楷體" w:eastAsia="標楷體" w:hAnsi="標楷體" w:cs="Times New Roman" w:hint="eastAsia"/>
          <w:sz w:val="28"/>
          <w:szCs w:val="28"/>
        </w:rPr>
        <w:lastRenderedPageBreak/>
        <w:t>起每四點五公尺為一級距依序加計旁街路線價之百分之十及百分之五(見圖例四12.、13.)。</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 xml:space="preserve">   前項路角地加成原則若實際情形特殊，需酌予變更者應擬具處理辦法，專案陳報本局核定。</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2、路角地如因陸橋、地下道出入口或其他路障而影響其利用價值時，應依前項標準計算該路角地單價後再酌以減成補正之；其減成補正乘數以二成為限。</w:t>
      </w:r>
    </w:p>
    <w:p w:rsidR="00B97FAA" w:rsidRPr="00B97FAA" w:rsidRDefault="00B97FAA" w:rsidP="00B97FAA">
      <w:pPr>
        <w:spacing w:line="460" w:lineRule="exact"/>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(三)、袋地</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bCs/>
          <w:sz w:val="28"/>
          <w:szCs w:val="28"/>
        </w:rPr>
      </w:pPr>
      <w:r w:rsidRPr="00B97FAA">
        <w:rPr>
          <w:rFonts w:ascii="標楷體" w:eastAsia="標楷體" w:hAnsi="標楷體" w:cs="Times New Roman" w:hint="eastAsia"/>
          <w:sz w:val="28"/>
          <w:szCs w:val="28"/>
        </w:rPr>
        <w:t>1、袋地係指裡地線內不直接臨街之土地（騎樓用地與次宗土地視為第一宗土地）。</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 xml:space="preserve">2、袋地地價按路線價之百分之六十五計算。 </w:t>
      </w:r>
    </w:p>
    <w:p w:rsidR="00B97FAA" w:rsidRPr="00B97FAA" w:rsidRDefault="00B97FAA" w:rsidP="00B97FAA">
      <w:pPr>
        <w:spacing w:line="460" w:lineRule="exact"/>
        <w:ind w:leftChars="348" w:left="1255" w:hangingChars="150" w:hanging="420"/>
        <w:jc w:val="both"/>
        <w:rPr>
          <w:rFonts w:ascii="標楷體" w:eastAsia="標楷體" w:hAnsi="標楷體" w:cs="Times New Roman" w:hint="eastAsia"/>
          <w:sz w:val="28"/>
          <w:szCs w:val="28"/>
        </w:rPr>
      </w:pPr>
      <w:r w:rsidRPr="00B97FAA">
        <w:rPr>
          <w:rFonts w:ascii="標楷體" w:eastAsia="標楷體" w:hAnsi="標楷體" w:cs="Times New Roman" w:hint="eastAsia"/>
          <w:sz w:val="28"/>
          <w:szCs w:val="28"/>
        </w:rPr>
        <w:t>3、袋地地價計算結果低於裡地區段地價者，以裡地區段地價為其宗地地價。</w:t>
      </w:r>
    </w:p>
    <w:p w:rsidR="00A77C7E" w:rsidRPr="00B97FAA" w:rsidRDefault="00B97FAA" w:rsidP="00B97FAA">
      <w:pPr>
        <w:widowControl/>
        <w:spacing w:line="460" w:lineRule="exact"/>
        <w:ind w:left="616" w:hangingChars="220" w:hanging="616"/>
        <w:rPr>
          <w:rFonts w:ascii="標楷體" w:eastAsia="標楷體" w:hAnsi="標楷體" w:cs="Times New Roman"/>
          <w:color w:val="000000"/>
          <w:sz w:val="28"/>
          <w:szCs w:val="28"/>
        </w:rPr>
      </w:pPr>
      <w:r w:rsidRPr="00B97FAA">
        <w:rPr>
          <w:rFonts w:ascii="標楷體" w:eastAsia="標楷體" w:hAnsi="標楷體" w:cs="Times New Roman" w:hint="eastAsia"/>
          <w:kern w:val="0"/>
          <w:sz w:val="28"/>
          <w:szCs w:val="24"/>
        </w:rPr>
        <w:t>六、與騎樓用</w:t>
      </w:r>
      <w:bookmarkStart w:id="0" w:name="_GoBack"/>
      <w:bookmarkEnd w:id="0"/>
      <w:r w:rsidRPr="00B97FAA">
        <w:rPr>
          <w:rFonts w:ascii="標楷體" w:eastAsia="標楷體" w:hAnsi="標楷體" w:cs="Times New Roman" w:hint="eastAsia"/>
          <w:kern w:val="0"/>
          <w:sz w:val="28"/>
          <w:szCs w:val="24"/>
        </w:rPr>
        <w:t>地、無遮簷人行道作同一建築使用之各宗土地，或同一所有權人全部或部分在裡地線以內者，該各宗土地，視為同一宗土地，其單位地價相等。</w:t>
      </w:r>
    </w:p>
    <w:sectPr w:rsidR="00A77C7E" w:rsidRPr="00B97FAA" w:rsidSect="00CD1DD5">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AD5" w:rsidRDefault="00AE2AD5" w:rsidP="001D6A66">
      <w:r>
        <w:separator/>
      </w:r>
    </w:p>
  </w:endnote>
  <w:endnote w:type="continuationSeparator" w:id="0">
    <w:p w:rsidR="00AE2AD5" w:rsidRDefault="00AE2AD5" w:rsidP="001D6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6352269"/>
      <w:docPartObj>
        <w:docPartGallery w:val="Page Numbers (Bottom of Page)"/>
        <w:docPartUnique/>
      </w:docPartObj>
    </w:sdtPr>
    <w:sdtEndPr/>
    <w:sdtContent>
      <w:p w:rsidR="001D6A66" w:rsidRDefault="001D6A66">
        <w:pPr>
          <w:pStyle w:val="a7"/>
          <w:jc w:val="center"/>
        </w:pPr>
        <w:r>
          <w:fldChar w:fldCharType="begin"/>
        </w:r>
        <w:r>
          <w:instrText>PAGE   \* MERGEFORMAT</w:instrText>
        </w:r>
        <w:r>
          <w:fldChar w:fldCharType="separate"/>
        </w:r>
        <w:r w:rsidR="00B97FAA" w:rsidRPr="00B97FAA">
          <w:rPr>
            <w:noProof/>
            <w:lang w:val="zh-TW"/>
          </w:rPr>
          <w:t>6</w:t>
        </w:r>
        <w:r>
          <w:fldChar w:fldCharType="end"/>
        </w:r>
      </w:p>
    </w:sdtContent>
  </w:sdt>
  <w:p w:rsidR="001D6A66" w:rsidRDefault="001D6A6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AD5" w:rsidRDefault="00AE2AD5" w:rsidP="001D6A66">
      <w:r>
        <w:separator/>
      </w:r>
    </w:p>
  </w:footnote>
  <w:footnote w:type="continuationSeparator" w:id="0">
    <w:p w:rsidR="00AE2AD5" w:rsidRDefault="00AE2AD5" w:rsidP="001D6A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D13ED"/>
    <w:multiLevelType w:val="hybridMultilevel"/>
    <w:tmpl w:val="22B4CEFE"/>
    <w:lvl w:ilvl="0" w:tplc="43FA5CF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1E6F2E"/>
    <w:multiLevelType w:val="hybridMultilevel"/>
    <w:tmpl w:val="25D01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9701B3"/>
    <w:multiLevelType w:val="hybridMultilevel"/>
    <w:tmpl w:val="40FC6258"/>
    <w:lvl w:ilvl="0" w:tplc="49E41EE6">
      <w:start w:val="1"/>
      <w:numFmt w:val="taiwaneseCountingThousand"/>
      <w:lvlText w:val="%1、"/>
      <w:lvlJc w:val="left"/>
      <w:pPr>
        <w:ind w:left="1280" w:hanging="720"/>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 w15:restartNumberingAfterBreak="0">
    <w:nsid w:val="1E4C01C3"/>
    <w:multiLevelType w:val="hybridMultilevel"/>
    <w:tmpl w:val="B6962A9A"/>
    <w:lvl w:ilvl="0" w:tplc="3D1245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1828F8"/>
    <w:multiLevelType w:val="hybridMultilevel"/>
    <w:tmpl w:val="00727E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28F5ECE"/>
    <w:multiLevelType w:val="hybridMultilevel"/>
    <w:tmpl w:val="A1FA874C"/>
    <w:lvl w:ilvl="0" w:tplc="E848CF9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B7065A2"/>
    <w:multiLevelType w:val="hybridMultilevel"/>
    <w:tmpl w:val="A1FA874C"/>
    <w:lvl w:ilvl="0" w:tplc="E848CF9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CF1071"/>
    <w:multiLevelType w:val="hybridMultilevel"/>
    <w:tmpl w:val="DC64ACB2"/>
    <w:lvl w:ilvl="0" w:tplc="D1426956">
      <w:start w:val="4"/>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1F0487E"/>
    <w:multiLevelType w:val="hybridMultilevel"/>
    <w:tmpl w:val="99921F2C"/>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893138"/>
    <w:multiLevelType w:val="hybridMultilevel"/>
    <w:tmpl w:val="003C3454"/>
    <w:lvl w:ilvl="0" w:tplc="28F24B76">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E63F1A"/>
    <w:multiLevelType w:val="hybridMultilevel"/>
    <w:tmpl w:val="00727E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3D46B6"/>
    <w:multiLevelType w:val="hybridMultilevel"/>
    <w:tmpl w:val="E1120A42"/>
    <w:lvl w:ilvl="0" w:tplc="036A6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1C21380"/>
    <w:multiLevelType w:val="hybridMultilevel"/>
    <w:tmpl w:val="B6962A9A"/>
    <w:lvl w:ilvl="0" w:tplc="3D1245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2BB66CE"/>
    <w:multiLevelType w:val="hybridMultilevel"/>
    <w:tmpl w:val="00727E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3B14412"/>
    <w:multiLevelType w:val="hybridMultilevel"/>
    <w:tmpl w:val="39CEE638"/>
    <w:lvl w:ilvl="0" w:tplc="A12EE2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9AB0BB0"/>
    <w:multiLevelType w:val="hybridMultilevel"/>
    <w:tmpl w:val="272C0C24"/>
    <w:lvl w:ilvl="0" w:tplc="036A6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A07561B"/>
    <w:multiLevelType w:val="hybridMultilevel"/>
    <w:tmpl w:val="36245FDA"/>
    <w:lvl w:ilvl="0" w:tplc="F870795C">
      <w:start w:val="1"/>
      <w:numFmt w:val="taiwaneseCountingThousand"/>
      <w:lvlText w:val="%1、"/>
      <w:lvlJc w:val="left"/>
      <w:pPr>
        <w:tabs>
          <w:tab w:val="num" w:pos="446"/>
        </w:tabs>
        <w:ind w:left="446" w:hanging="480"/>
      </w:pPr>
      <w:rPr>
        <w:rFonts w:hint="default"/>
      </w:rPr>
    </w:lvl>
    <w:lvl w:ilvl="1" w:tplc="04090019" w:tentative="1">
      <w:start w:val="1"/>
      <w:numFmt w:val="ideographTraditional"/>
      <w:lvlText w:val="%2、"/>
      <w:lvlJc w:val="left"/>
      <w:pPr>
        <w:tabs>
          <w:tab w:val="num" w:pos="926"/>
        </w:tabs>
        <w:ind w:left="926" w:hanging="480"/>
      </w:pPr>
    </w:lvl>
    <w:lvl w:ilvl="2" w:tplc="0409001B" w:tentative="1">
      <w:start w:val="1"/>
      <w:numFmt w:val="lowerRoman"/>
      <w:lvlText w:val="%3."/>
      <w:lvlJc w:val="right"/>
      <w:pPr>
        <w:tabs>
          <w:tab w:val="num" w:pos="1406"/>
        </w:tabs>
        <w:ind w:left="1406" w:hanging="480"/>
      </w:pPr>
    </w:lvl>
    <w:lvl w:ilvl="3" w:tplc="0409000F" w:tentative="1">
      <w:start w:val="1"/>
      <w:numFmt w:val="decimal"/>
      <w:lvlText w:val="%4."/>
      <w:lvlJc w:val="left"/>
      <w:pPr>
        <w:tabs>
          <w:tab w:val="num" w:pos="1886"/>
        </w:tabs>
        <w:ind w:left="1886" w:hanging="480"/>
      </w:pPr>
    </w:lvl>
    <w:lvl w:ilvl="4" w:tplc="04090019" w:tentative="1">
      <w:start w:val="1"/>
      <w:numFmt w:val="ideographTraditional"/>
      <w:lvlText w:val="%5、"/>
      <w:lvlJc w:val="left"/>
      <w:pPr>
        <w:tabs>
          <w:tab w:val="num" w:pos="2366"/>
        </w:tabs>
        <w:ind w:left="2366" w:hanging="480"/>
      </w:pPr>
    </w:lvl>
    <w:lvl w:ilvl="5" w:tplc="0409001B" w:tentative="1">
      <w:start w:val="1"/>
      <w:numFmt w:val="lowerRoman"/>
      <w:lvlText w:val="%6."/>
      <w:lvlJc w:val="right"/>
      <w:pPr>
        <w:tabs>
          <w:tab w:val="num" w:pos="2846"/>
        </w:tabs>
        <w:ind w:left="2846" w:hanging="480"/>
      </w:pPr>
    </w:lvl>
    <w:lvl w:ilvl="6" w:tplc="0409000F" w:tentative="1">
      <w:start w:val="1"/>
      <w:numFmt w:val="decimal"/>
      <w:lvlText w:val="%7."/>
      <w:lvlJc w:val="left"/>
      <w:pPr>
        <w:tabs>
          <w:tab w:val="num" w:pos="3326"/>
        </w:tabs>
        <w:ind w:left="3326" w:hanging="480"/>
      </w:pPr>
    </w:lvl>
    <w:lvl w:ilvl="7" w:tplc="04090019" w:tentative="1">
      <w:start w:val="1"/>
      <w:numFmt w:val="ideographTraditional"/>
      <w:lvlText w:val="%8、"/>
      <w:lvlJc w:val="left"/>
      <w:pPr>
        <w:tabs>
          <w:tab w:val="num" w:pos="3806"/>
        </w:tabs>
        <w:ind w:left="3806" w:hanging="480"/>
      </w:pPr>
    </w:lvl>
    <w:lvl w:ilvl="8" w:tplc="0409001B" w:tentative="1">
      <w:start w:val="1"/>
      <w:numFmt w:val="lowerRoman"/>
      <w:lvlText w:val="%9."/>
      <w:lvlJc w:val="right"/>
      <w:pPr>
        <w:tabs>
          <w:tab w:val="num" w:pos="4286"/>
        </w:tabs>
        <w:ind w:left="4286" w:hanging="480"/>
      </w:pPr>
    </w:lvl>
  </w:abstractNum>
  <w:abstractNum w:abstractNumId="17" w15:restartNumberingAfterBreak="0">
    <w:nsid w:val="6F0861A9"/>
    <w:multiLevelType w:val="hybridMultilevel"/>
    <w:tmpl w:val="E746E958"/>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7E0F4828"/>
    <w:multiLevelType w:val="hybridMultilevel"/>
    <w:tmpl w:val="AF68A8DA"/>
    <w:lvl w:ilvl="0" w:tplc="28F24B76">
      <w:start w:val="1"/>
      <w:numFmt w:val="taiwaneseCountingThousand"/>
      <w:lvlText w:val="%1、"/>
      <w:lvlJc w:val="left"/>
      <w:pPr>
        <w:tabs>
          <w:tab w:val="num" w:pos="720"/>
        </w:tabs>
        <w:ind w:left="720" w:hanging="720"/>
      </w:pPr>
      <w:rPr>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7"/>
  </w:num>
  <w:num w:numId="4">
    <w:abstractNumId w:val="16"/>
  </w:num>
  <w:num w:numId="5">
    <w:abstractNumId w:val="2"/>
  </w:num>
  <w:num w:numId="6">
    <w:abstractNumId w:val="3"/>
  </w:num>
  <w:num w:numId="7">
    <w:abstractNumId w:val="12"/>
  </w:num>
  <w:num w:numId="8">
    <w:abstractNumId w:val="1"/>
  </w:num>
  <w:num w:numId="9">
    <w:abstractNumId w:val="18"/>
  </w:num>
  <w:num w:numId="10">
    <w:abstractNumId w:val="9"/>
  </w:num>
  <w:num w:numId="11">
    <w:abstractNumId w:val="15"/>
  </w:num>
  <w:num w:numId="12">
    <w:abstractNumId w:val="0"/>
  </w:num>
  <w:num w:numId="13">
    <w:abstractNumId w:val="11"/>
  </w:num>
  <w:num w:numId="14">
    <w:abstractNumId w:val="14"/>
  </w:num>
  <w:num w:numId="15">
    <w:abstractNumId w:val="7"/>
  </w:num>
  <w:num w:numId="16">
    <w:abstractNumId w:val="10"/>
  </w:num>
  <w:num w:numId="17">
    <w:abstractNumId w:val="13"/>
  </w:num>
  <w:num w:numId="18">
    <w:abstractNumId w:val="4"/>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0"/>
  <w:displayHorizontalDrawingGridEvery w:val="0"/>
  <w:displayVerticalDrawingGridEvery w:val="2"/>
  <w:characterSpacingControl w:val="compressPunctuation"/>
  <w:hdrShapeDefaults>
    <o:shapedefaults v:ext="edit" spidmax="215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9AE"/>
    <w:rsid w:val="00047CBE"/>
    <w:rsid w:val="00094B05"/>
    <w:rsid w:val="000A41D2"/>
    <w:rsid w:val="000B3896"/>
    <w:rsid w:val="00115589"/>
    <w:rsid w:val="0012007E"/>
    <w:rsid w:val="00182014"/>
    <w:rsid w:val="00193EE0"/>
    <w:rsid w:val="001B6575"/>
    <w:rsid w:val="001C421E"/>
    <w:rsid w:val="001D12CF"/>
    <w:rsid w:val="001D6A66"/>
    <w:rsid w:val="001D7C42"/>
    <w:rsid w:val="001F2F42"/>
    <w:rsid w:val="002169AE"/>
    <w:rsid w:val="00220106"/>
    <w:rsid w:val="00260D5E"/>
    <w:rsid w:val="00262C2C"/>
    <w:rsid w:val="003212B6"/>
    <w:rsid w:val="00345796"/>
    <w:rsid w:val="003C63E8"/>
    <w:rsid w:val="003C7D75"/>
    <w:rsid w:val="003D203C"/>
    <w:rsid w:val="003F789F"/>
    <w:rsid w:val="00424FFA"/>
    <w:rsid w:val="00447CD2"/>
    <w:rsid w:val="00495861"/>
    <w:rsid w:val="004A693C"/>
    <w:rsid w:val="004C0E3A"/>
    <w:rsid w:val="004C4B29"/>
    <w:rsid w:val="004F706C"/>
    <w:rsid w:val="0050652E"/>
    <w:rsid w:val="0050736E"/>
    <w:rsid w:val="0051773E"/>
    <w:rsid w:val="005267BD"/>
    <w:rsid w:val="0053228F"/>
    <w:rsid w:val="00607900"/>
    <w:rsid w:val="006106F1"/>
    <w:rsid w:val="00611D15"/>
    <w:rsid w:val="006179E1"/>
    <w:rsid w:val="006317E7"/>
    <w:rsid w:val="0066450B"/>
    <w:rsid w:val="00697F00"/>
    <w:rsid w:val="006C35E8"/>
    <w:rsid w:val="006C4988"/>
    <w:rsid w:val="00703641"/>
    <w:rsid w:val="00736932"/>
    <w:rsid w:val="007506F9"/>
    <w:rsid w:val="007618C3"/>
    <w:rsid w:val="007C7D59"/>
    <w:rsid w:val="0080215F"/>
    <w:rsid w:val="00815878"/>
    <w:rsid w:val="00821A1A"/>
    <w:rsid w:val="0088423E"/>
    <w:rsid w:val="008872FA"/>
    <w:rsid w:val="008D5F64"/>
    <w:rsid w:val="009063C9"/>
    <w:rsid w:val="009207E9"/>
    <w:rsid w:val="009244C9"/>
    <w:rsid w:val="009254A5"/>
    <w:rsid w:val="00980792"/>
    <w:rsid w:val="00986350"/>
    <w:rsid w:val="009D1637"/>
    <w:rsid w:val="009E7CE9"/>
    <w:rsid w:val="00A059EA"/>
    <w:rsid w:val="00A12596"/>
    <w:rsid w:val="00A2121E"/>
    <w:rsid w:val="00A432D4"/>
    <w:rsid w:val="00A757DE"/>
    <w:rsid w:val="00A77C7E"/>
    <w:rsid w:val="00A90509"/>
    <w:rsid w:val="00A97CD3"/>
    <w:rsid w:val="00AA076F"/>
    <w:rsid w:val="00AB53C8"/>
    <w:rsid w:val="00AC34CD"/>
    <w:rsid w:val="00AE2AD5"/>
    <w:rsid w:val="00B852DB"/>
    <w:rsid w:val="00B9060B"/>
    <w:rsid w:val="00B97FAA"/>
    <w:rsid w:val="00BC4C17"/>
    <w:rsid w:val="00BC674C"/>
    <w:rsid w:val="00BE0B6C"/>
    <w:rsid w:val="00BE3803"/>
    <w:rsid w:val="00BF630D"/>
    <w:rsid w:val="00C348DF"/>
    <w:rsid w:val="00C433C7"/>
    <w:rsid w:val="00CA1550"/>
    <w:rsid w:val="00CB1BA1"/>
    <w:rsid w:val="00CD1DD5"/>
    <w:rsid w:val="00D438AA"/>
    <w:rsid w:val="00D61291"/>
    <w:rsid w:val="00D739D8"/>
    <w:rsid w:val="00D77129"/>
    <w:rsid w:val="00D85B96"/>
    <w:rsid w:val="00DE37FE"/>
    <w:rsid w:val="00E91D37"/>
    <w:rsid w:val="00EB036C"/>
    <w:rsid w:val="00ED19E3"/>
    <w:rsid w:val="00F02410"/>
    <w:rsid w:val="00F22EC3"/>
    <w:rsid w:val="00F41425"/>
    <w:rsid w:val="00F53B20"/>
    <w:rsid w:val="00F71314"/>
    <w:rsid w:val="00F83355"/>
    <w:rsid w:val="00FA59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1505"/>
    <o:shapelayout v:ext="edit">
      <o:idmap v:ext="edit" data="1"/>
    </o:shapelayout>
  </w:shapeDefaults>
  <w:decimalSymbol w:val="."/>
  <w:listSeparator w:val=","/>
  <w14:docId w14:val="0D439A5E"/>
  <w15:docId w15:val="{BB94B26C-C531-4B99-A2A7-7F3F14F3F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7C4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字元 字元 字元 字元 字元1"/>
    <w:basedOn w:val="a"/>
    <w:rsid w:val="00CD1DD5"/>
    <w:pPr>
      <w:widowControl/>
      <w:spacing w:after="160" w:line="240" w:lineRule="exact"/>
    </w:pPr>
    <w:rPr>
      <w:rFonts w:ascii="Tahoma" w:eastAsia="新細明體" w:hAnsi="Tahoma" w:cs="Times New Roman"/>
      <w:kern w:val="0"/>
      <w:sz w:val="20"/>
      <w:szCs w:val="20"/>
      <w:lang w:eastAsia="en-US"/>
    </w:rPr>
  </w:style>
  <w:style w:type="paragraph" w:styleId="a3">
    <w:name w:val="Plain Text"/>
    <w:basedOn w:val="a"/>
    <w:link w:val="a4"/>
    <w:rsid w:val="00262C2C"/>
    <w:rPr>
      <w:rFonts w:ascii="細明體" w:eastAsia="細明體" w:hAnsi="Courier New" w:cs="Times New Roman"/>
      <w:szCs w:val="20"/>
    </w:rPr>
  </w:style>
  <w:style w:type="character" w:customStyle="1" w:styleId="a4">
    <w:name w:val="純文字 字元"/>
    <w:basedOn w:val="a0"/>
    <w:link w:val="a3"/>
    <w:rsid w:val="00262C2C"/>
    <w:rPr>
      <w:rFonts w:ascii="細明體" w:eastAsia="細明體" w:hAnsi="Courier New" w:cs="Times New Roman"/>
      <w:szCs w:val="20"/>
    </w:rPr>
  </w:style>
  <w:style w:type="paragraph" w:styleId="a5">
    <w:name w:val="header"/>
    <w:basedOn w:val="a"/>
    <w:link w:val="a6"/>
    <w:uiPriority w:val="99"/>
    <w:unhideWhenUsed/>
    <w:rsid w:val="001D6A66"/>
    <w:pPr>
      <w:tabs>
        <w:tab w:val="center" w:pos="4153"/>
        <w:tab w:val="right" w:pos="8306"/>
      </w:tabs>
      <w:snapToGrid w:val="0"/>
    </w:pPr>
    <w:rPr>
      <w:sz w:val="20"/>
      <w:szCs w:val="20"/>
    </w:rPr>
  </w:style>
  <w:style w:type="character" w:customStyle="1" w:styleId="a6">
    <w:name w:val="頁首 字元"/>
    <w:basedOn w:val="a0"/>
    <w:link w:val="a5"/>
    <w:uiPriority w:val="99"/>
    <w:rsid w:val="001D6A66"/>
    <w:rPr>
      <w:sz w:val="20"/>
      <w:szCs w:val="20"/>
    </w:rPr>
  </w:style>
  <w:style w:type="paragraph" w:styleId="a7">
    <w:name w:val="footer"/>
    <w:basedOn w:val="a"/>
    <w:link w:val="a8"/>
    <w:uiPriority w:val="99"/>
    <w:unhideWhenUsed/>
    <w:rsid w:val="001D6A66"/>
    <w:pPr>
      <w:tabs>
        <w:tab w:val="center" w:pos="4153"/>
        <w:tab w:val="right" w:pos="8306"/>
      </w:tabs>
      <w:snapToGrid w:val="0"/>
    </w:pPr>
    <w:rPr>
      <w:sz w:val="20"/>
      <w:szCs w:val="20"/>
    </w:rPr>
  </w:style>
  <w:style w:type="character" w:customStyle="1" w:styleId="a8">
    <w:name w:val="頁尾 字元"/>
    <w:basedOn w:val="a0"/>
    <w:link w:val="a7"/>
    <w:uiPriority w:val="99"/>
    <w:rsid w:val="001D6A66"/>
    <w:rPr>
      <w:sz w:val="20"/>
      <w:szCs w:val="20"/>
    </w:rPr>
  </w:style>
  <w:style w:type="paragraph" w:styleId="a9">
    <w:name w:val="Balloon Text"/>
    <w:basedOn w:val="a"/>
    <w:link w:val="aa"/>
    <w:uiPriority w:val="99"/>
    <w:semiHidden/>
    <w:unhideWhenUsed/>
    <w:rsid w:val="001D6A6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D6A66"/>
    <w:rPr>
      <w:rFonts w:asciiTheme="majorHAnsi" w:eastAsiaTheme="majorEastAsia" w:hAnsiTheme="majorHAnsi" w:cstheme="majorBidi"/>
      <w:sz w:val="18"/>
      <w:szCs w:val="18"/>
    </w:rPr>
  </w:style>
  <w:style w:type="paragraph" w:styleId="ab">
    <w:name w:val="List Paragraph"/>
    <w:basedOn w:val="a"/>
    <w:uiPriority w:val="34"/>
    <w:qFormat/>
    <w:rsid w:val="009254A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170631">
      <w:bodyDiv w:val="1"/>
      <w:marLeft w:val="0"/>
      <w:marRight w:val="0"/>
      <w:marTop w:val="0"/>
      <w:marBottom w:val="0"/>
      <w:divBdr>
        <w:top w:val="none" w:sz="0" w:space="0" w:color="auto"/>
        <w:left w:val="none" w:sz="0" w:space="0" w:color="auto"/>
        <w:bottom w:val="none" w:sz="0" w:space="0" w:color="auto"/>
        <w:right w:val="none" w:sz="0" w:space="0" w:color="auto"/>
      </w:divBdr>
    </w:div>
    <w:div w:id="78180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3B993-5D92-449A-AA33-F8A1222D2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527</Words>
  <Characters>3010</Characters>
  <Application>Microsoft Office Word</Application>
  <DocSecurity>0</DocSecurity>
  <Lines>25</Lines>
  <Paragraphs>7</Paragraphs>
  <ScaleCrop>false</ScaleCrop>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張朝倫</dc:creator>
  <cp:keywords/>
  <dc:description/>
  <cp:lastModifiedBy>張元和</cp:lastModifiedBy>
  <cp:revision>2</cp:revision>
  <cp:lastPrinted>2019-06-12T09:48:00Z</cp:lastPrinted>
  <dcterms:created xsi:type="dcterms:W3CDTF">2019-06-19T02:14:00Z</dcterms:created>
  <dcterms:modified xsi:type="dcterms:W3CDTF">2019-06-19T02:14:00Z</dcterms:modified>
</cp:coreProperties>
</file>