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FD4" w:rsidRDefault="0081515D">
      <w:pPr>
        <w:spacing w:after="180" w:line="0" w:lineRule="atLeast"/>
        <w:rPr>
          <w:rFonts w:ascii="標楷體" w:eastAsia="標楷體" w:hAnsi="標楷體"/>
          <w:sz w:val="40"/>
          <w:szCs w:val="40"/>
        </w:rPr>
      </w:pPr>
      <w:bookmarkStart w:id="0" w:name="_GoBack"/>
      <w:bookmarkEnd w:id="0"/>
      <w:proofErr w:type="gramStart"/>
      <w:r>
        <w:rPr>
          <w:rFonts w:ascii="標楷體" w:eastAsia="標楷體" w:hAnsi="標楷體"/>
          <w:sz w:val="40"/>
          <w:szCs w:val="40"/>
        </w:rPr>
        <w:t>臺</w:t>
      </w:r>
      <w:proofErr w:type="gramEnd"/>
      <w:r>
        <w:rPr>
          <w:rFonts w:ascii="標楷體" w:eastAsia="標楷體" w:hAnsi="標楷體"/>
          <w:sz w:val="40"/>
          <w:szCs w:val="40"/>
        </w:rPr>
        <w:t>中市大眾捷運系統車輛機具檢修規則草案總說明</w:t>
      </w:r>
    </w:p>
    <w:p w:rsidR="00261FD4" w:rsidRDefault="0081515D">
      <w:pPr>
        <w:overflowPunct w:val="0"/>
        <w:spacing w:line="460" w:lineRule="exact"/>
        <w:ind w:firstLine="567"/>
        <w:jc w:val="both"/>
        <w:rPr>
          <w:rFonts w:eastAsia="標楷體" w:cs="標楷體"/>
          <w:bCs/>
          <w:sz w:val="28"/>
          <w:szCs w:val="32"/>
        </w:rPr>
      </w:pPr>
      <w:r>
        <w:rPr>
          <w:rFonts w:eastAsia="標楷體" w:cs="標楷體"/>
          <w:bCs/>
          <w:sz w:val="28"/>
          <w:szCs w:val="32"/>
        </w:rPr>
        <w:t>「</w:t>
      </w:r>
      <w:proofErr w:type="gramStart"/>
      <w:r>
        <w:rPr>
          <w:rFonts w:eastAsia="標楷體" w:cs="標楷體"/>
          <w:bCs/>
          <w:sz w:val="28"/>
          <w:szCs w:val="32"/>
        </w:rPr>
        <w:t>臺</w:t>
      </w:r>
      <w:proofErr w:type="gramEnd"/>
      <w:r>
        <w:rPr>
          <w:rFonts w:eastAsia="標楷體" w:cs="標楷體"/>
          <w:bCs/>
          <w:sz w:val="28"/>
          <w:szCs w:val="32"/>
        </w:rPr>
        <w:t>中市大眾捷運系統車輛機具檢修規則」</w:t>
      </w:r>
      <w:r>
        <w:rPr>
          <w:rFonts w:eastAsia="標楷體" w:cs="標楷體"/>
          <w:bCs/>
          <w:sz w:val="28"/>
          <w:szCs w:val="32"/>
        </w:rPr>
        <w:t>(</w:t>
      </w:r>
      <w:r>
        <w:rPr>
          <w:rFonts w:eastAsia="標楷體" w:cs="標楷體"/>
          <w:bCs/>
          <w:sz w:val="28"/>
          <w:szCs w:val="32"/>
        </w:rPr>
        <w:t>以下簡稱本規則</w:t>
      </w:r>
      <w:r>
        <w:rPr>
          <w:rFonts w:eastAsia="標楷體" w:cs="標楷體"/>
          <w:bCs/>
          <w:sz w:val="28"/>
          <w:szCs w:val="32"/>
        </w:rPr>
        <w:t>)</w:t>
      </w:r>
      <w:r>
        <w:rPr>
          <w:rFonts w:eastAsia="標楷體" w:cs="標楷體"/>
          <w:bCs/>
          <w:sz w:val="28"/>
          <w:szCs w:val="32"/>
        </w:rPr>
        <w:t>主要係規範</w:t>
      </w:r>
      <w:proofErr w:type="gramStart"/>
      <w:r>
        <w:rPr>
          <w:rFonts w:eastAsia="標楷體" w:cs="標楷體"/>
          <w:bCs/>
          <w:sz w:val="28"/>
          <w:szCs w:val="32"/>
        </w:rPr>
        <w:t>臺</w:t>
      </w:r>
      <w:proofErr w:type="gramEnd"/>
      <w:r>
        <w:rPr>
          <w:rFonts w:eastAsia="標楷體" w:cs="標楷體"/>
          <w:bCs/>
          <w:sz w:val="28"/>
          <w:szCs w:val="32"/>
        </w:rPr>
        <w:t>中市政府</w:t>
      </w:r>
      <w:r>
        <w:rPr>
          <w:rFonts w:eastAsia="標楷體" w:cs="標楷體"/>
          <w:bCs/>
          <w:sz w:val="28"/>
          <w:szCs w:val="32"/>
        </w:rPr>
        <w:t>(</w:t>
      </w:r>
      <w:r>
        <w:rPr>
          <w:rFonts w:eastAsia="標楷體" w:cs="標楷體"/>
          <w:bCs/>
          <w:sz w:val="28"/>
          <w:szCs w:val="32"/>
        </w:rPr>
        <w:t>以下簡稱本府</w:t>
      </w:r>
      <w:r>
        <w:rPr>
          <w:rFonts w:eastAsia="標楷體" w:cs="標楷體"/>
          <w:bCs/>
          <w:sz w:val="28"/>
          <w:szCs w:val="32"/>
        </w:rPr>
        <w:t>)</w:t>
      </w:r>
      <w:r>
        <w:rPr>
          <w:rFonts w:eastAsia="標楷體" w:cs="標楷體"/>
          <w:bCs/>
          <w:sz w:val="28"/>
          <w:szCs w:val="32"/>
        </w:rPr>
        <w:t>主管之大眾捷運系統車輛機具檢修事項。本規則內容根據「大眾捷運法」第八章「附則」等章節法源精神訂定，全文計十八條，其要點如下：</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本規則訂定之法源依據。</w:t>
      </w:r>
      <w:r>
        <w:rPr>
          <w:rFonts w:ascii="標楷體" w:eastAsia="標楷體" w:hAnsi="標楷體" w:cs="標楷體"/>
          <w:bCs/>
          <w:sz w:val="28"/>
          <w:szCs w:val="32"/>
        </w:rPr>
        <w:t>(</w:t>
      </w:r>
      <w:r>
        <w:rPr>
          <w:rFonts w:ascii="標楷體" w:eastAsia="標楷體" w:hAnsi="標楷體" w:cs="標楷體"/>
          <w:bCs/>
          <w:sz w:val="28"/>
          <w:szCs w:val="32"/>
        </w:rPr>
        <w:t>草案第一條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本規則管轄適用範圍。</w:t>
      </w:r>
      <w:r>
        <w:rPr>
          <w:rFonts w:ascii="標楷體" w:eastAsia="標楷體" w:hAnsi="標楷體" w:cs="標楷體"/>
          <w:bCs/>
          <w:sz w:val="28"/>
          <w:szCs w:val="32"/>
        </w:rPr>
        <w:t>(</w:t>
      </w:r>
      <w:r>
        <w:rPr>
          <w:rFonts w:ascii="標楷體" w:eastAsia="標楷體" w:hAnsi="標楷體" w:cs="標楷體"/>
          <w:bCs/>
          <w:sz w:val="28"/>
          <w:szCs w:val="32"/>
        </w:rPr>
        <w:t>草案第二條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本規則所稱車輛、機具之定義。</w:t>
      </w:r>
      <w:r>
        <w:rPr>
          <w:rFonts w:ascii="標楷體" w:eastAsia="標楷體" w:hAnsi="標楷體" w:cs="標楷體"/>
          <w:bCs/>
          <w:sz w:val="28"/>
          <w:szCs w:val="32"/>
        </w:rPr>
        <w:t>(</w:t>
      </w:r>
      <w:r>
        <w:rPr>
          <w:rFonts w:ascii="標楷體" w:eastAsia="標楷體" w:hAnsi="標楷體" w:cs="標楷體"/>
          <w:bCs/>
          <w:sz w:val="28"/>
          <w:szCs w:val="32"/>
        </w:rPr>
        <w:t>草案第三條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proofErr w:type="gramStart"/>
      <w:r>
        <w:rPr>
          <w:rFonts w:ascii="標楷體" w:eastAsia="標楷體" w:hAnsi="標楷體" w:cs="標楷體"/>
          <w:bCs/>
          <w:sz w:val="28"/>
          <w:szCs w:val="32"/>
        </w:rPr>
        <w:t>明定電聯</w:t>
      </w:r>
      <w:proofErr w:type="gramEnd"/>
      <w:r>
        <w:rPr>
          <w:rFonts w:ascii="標楷體" w:eastAsia="標楷體" w:hAnsi="標楷體" w:cs="標楷體"/>
          <w:bCs/>
          <w:sz w:val="28"/>
          <w:szCs w:val="32"/>
        </w:rPr>
        <w:t>車之檢修型式。</w:t>
      </w:r>
      <w:r>
        <w:rPr>
          <w:rFonts w:ascii="標楷體" w:eastAsia="標楷體" w:hAnsi="標楷體" w:cs="標楷體"/>
          <w:bCs/>
          <w:sz w:val="28"/>
          <w:szCs w:val="32"/>
        </w:rPr>
        <w:t>(</w:t>
      </w:r>
      <w:r>
        <w:rPr>
          <w:rFonts w:ascii="標楷體" w:eastAsia="標楷體" w:hAnsi="標楷體" w:cs="標楷體"/>
          <w:bCs/>
          <w:sz w:val="28"/>
          <w:szCs w:val="32"/>
        </w:rPr>
        <w:t>草案第四條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規範定期檢修之各級檢修工作內容。</w:t>
      </w:r>
      <w:r>
        <w:rPr>
          <w:rFonts w:ascii="標楷體" w:eastAsia="標楷體" w:hAnsi="標楷體" w:cs="標楷體"/>
          <w:bCs/>
          <w:sz w:val="28"/>
          <w:szCs w:val="32"/>
        </w:rPr>
        <w:t>(</w:t>
      </w:r>
      <w:r>
        <w:rPr>
          <w:rFonts w:ascii="標楷體" w:eastAsia="標楷體" w:hAnsi="標楷體" w:cs="標楷體"/>
          <w:bCs/>
          <w:sz w:val="28"/>
          <w:szCs w:val="32"/>
        </w:rPr>
        <w:t>草案第五條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規範營運機構擬定之電聯車各級檢修項目，需報請本府核定。</w:t>
      </w:r>
      <w:r>
        <w:rPr>
          <w:rFonts w:ascii="標楷體" w:eastAsia="標楷體" w:hAnsi="標楷體" w:cs="標楷體"/>
          <w:bCs/>
          <w:sz w:val="28"/>
          <w:szCs w:val="32"/>
        </w:rPr>
        <w:t>(</w:t>
      </w:r>
      <w:r>
        <w:rPr>
          <w:rFonts w:ascii="標楷體" w:eastAsia="標楷體" w:hAnsi="標楷體" w:cs="標楷體"/>
          <w:bCs/>
          <w:sz w:val="28"/>
          <w:szCs w:val="32"/>
        </w:rPr>
        <w:t>草案第六條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規範營運機構擬定之電聯車各級檢修周期，需報請本府核定。</w:t>
      </w:r>
      <w:r>
        <w:rPr>
          <w:rFonts w:ascii="標楷體" w:eastAsia="標楷體" w:hAnsi="標楷體" w:cs="標楷體"/>
          <w:bCs/>
          <w:sz w:val="28"/>
          <w:szCs w:val="32"/>
        </w:rPr>
        <w:t>(</w:t>
      </w:r>
      <w:r>
        <w:rPr>
          <w:rFonts w:ascii="標楷體" w:eastAsia="標楷體" w:hAnsi="標楷體" w:cs="標楷體"/>
          <w:bCs/>
          <w:sz w:val="28"/>
          <w:szCs w:val="32"/>
        </w:rPr>
        <w:t>草案第七條</w:t>
      </w:r>
      <w:r>
        <w:rPr>
          <w:rFonts w:ascii="標楷體" w:eastAsia="標楷體" w:hAnsi="標楷體" w:cs="標楷體"/>
          <w:bCs/>
          <w:sz w:val="28"/>
          <w:szCs w:val="32"/>
        </w:rPr>
        <w:t>)</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proofErr w:type="gramStart"/>
      <w:r>
        <w:rPr>
          <w:rFonts w:ascii="標楷體" w:eastAsia="標楷體" w:hAnsi="標楷體" w:cs="標楷體"/>
          <w:bCs/>
          <w:sz w:val="28"/>
          <w:szCs w:val="32"/>
        </w:rPr>
        <w:t>明定電聯</w:t>
      </w:r>
      <w:proofErr w:type="gramEnd"/>
      <w:r>
        <w:rPr>
          <w:rFonts w:ascii="標楷體" w:eastAsia="標楷體" w:hAnsi="標楷體" w:cs="標楷體"/>
          <w:bCs/>
          <w:sz w:val="28"/>
          <w:szCs w:val="32"/>
        </w:rPr>
        <w:t>車每日營運前應檢查之項目。</w:t>
      </w:r>
      <w:r>
        <w:rPr>
          <w:rFonts w:ascii="標楷體" w:eastAsia="標楷體" w:hAnsi="標楷體" w:cs="標楷體"/>
          <w:bCs/>
          <w:sz w:val="28"/>
          <w:szCs w:val="32"/>
        </w:rPr>
        <w:t>(</w:t>
      </w:r>
      <w:r>
        <w:rPr>
          <w:rFonts w:ascii="標楷體" w:eastAsia="標楷體" w:hAnsi="標楷體" w:cs="標楷體"/>
          <w:bCs/>
          <w:sz w:val="28"/>
          <w:szCs w:val="32"/>
        </w:rPr>
        <w:t>草案第八條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proofErr w:type="gramStart"/>
      <w:r>
        <w:rPr>
          <w:rFonts w:ascii="標楷體" w:eastAsia="標楷體" w:hAnsi="標楷體" w:cs="標楷體"/>
          <w:bCs/>
          <w:sz w:val="28"/>
          <w:szCs w:val="32"/>
        </w:rPr>
        <w:t>明定電聯</w:t>
      </w:r>
      <w:proofErr w:type="gramEnd"/>
      <w:r>
        <w:rPr>
          <w:rFonts w:ascii="標楷體" w:eastAsia="標楷體" w:hAnsi="標楷體" w:cs="標楷體"/>
          <w:bCs/>
          <w:sz w:val="28"/>
          <w:szCs w:val="32"/>
        </w:rPr>
        <w:t>車執行臨時檢修之時機。</w:t>
      </w:r>
      <w:r>
        <w:rPr>
          <w:rFonts w:ascii="標楷體" w:eastAsia="標楷體" w:hAnsi="標楷體" w:cs="標楷體"/>
          <w:bCs/>
          <w:sz w:val="28"/>
          <w:szCs w:val="32"/>
        </w:rPr>
        <w:t>(</w:t>
      </w:r>
      <w:r>
        <w:rPr>
          <w:rFonts w:ascii="標楷體" w:eastAsia="標楷體" w:hAnsi="標楷體" w:cs="標楷體"/>
          <w:bCs/>
          <w:sz w:val="28"/>
          <w:szCs w:val="32"/>
        </w:rPr>
        <w:t>草案第九條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574" w:hanging="574"/>
        <w:jc w:val="both"/>
        <w:rPr>
          <w:rFonts w:ascii="標楷體" w:eastAsia="標楷體" w:hAnsi="標楷體" w:cs="標楷體"/>
          <w:bCs/>
          <w:sz w:val="28"/>
          <w:szCs w:val="32"/>
        </w:rPr>
      </w:pPr>
      <w:r>
        <w:rPr>
          <w:rFonts w:ascii="標楷體" w:eastAsia="標楷體" w:hAnsi="標楷體" w:cs="標楷體"/>
          <w:bCs/>
          <w:sz w:val="28"/>
          <w:szCs w:val="32"/>
        </w:rPr>
        <w:t>規範電聯車主要部件執行臨時檢修時，應一同施行一級檢修以確保各機件正常。</w:t>
      </w:r>
      <w:r>
        <w:rPr>
          <w:rFonts w:ascii="標楷體" w:eastAsia="標楷體" w:hAnsi="標楷體" w:cs="標楷體"/>
          <w:bCs/>
          <w:sz w:val="28"/>
          <w:szCs w:val="32"/>
        </w:rPr>
        <w:t>(</w:t>
      </w:r>
      <w:r>
        <w:rPr>
          <w:rFonts w:ascii="標楷體" w:eastAsia="標楷體" w:hAnsi="標楷體" w:cs="標楷體"/>
          <w:bCs/>
          <w:sz w:val="28"/>
          <w:szCs w:val="32"/>
        </w:rPr>
        <w:t>草案第十條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規範營運機構之電聯車檢修資料應分級、分類建檔管理。</w:t>
      </w:r>
      <w:r>
        <w:rPr>
          <w:rFonts w:ascii="標楷體" w:eastAsia="標楷體" w:hAnsi="標楷體" w:cs="標楷體"/>
          <w:bCs/>
          <w:sz w:val="28"/>
          <w:szCs w:val="32"/>
        </w:rPr>
        <w:t>(</w:t>
      </w:r>
      <w:r>
        <w:rPr>
          <w:rFonts w:ascii="標楷體" w:eastAsia="標楷體" w:hAnsi="標楷體" w:cs="標楷體"/>
          <w:bCs/>
          <w:sz w:val="28"/>
          <w:szCs w:val="32"/>
        </w:rPr>
        <w:t>草案第</w:t>
      </w:r>
      <w:r>
        <w:rPr>
          <w:rFonts w:ascii="標楷體" w:eastAsia="標楷體" w:hAnsi="標楷體" w:cs="標楷體"/>
          <w:bCs/>
          <w:sz w:val="28"/>
          <w:szCs w:val="32"/>
        </w:rPr>
        <w:t>十一條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規範營運機構應執行試車之時機及相關作業規定。</w:t>
      </w:r>
      <w:r>
        <w:rPr>
          <w:rFonts w:ascii="標楷體" w:eastAsia="標楷體" w:hAnsi="標楷體" w:cs="標楷體"/>
          <w:bCs/>
          <w:sz w:val="28"/>
          <w:szCs w:val="32"/>
        </w:rPr>
        <w:t>(</w:t>
      </w:r>
      <w:r>
        <w:rPr>
          <w:rFonts w:ascii="標楷體" w:eastAsia="標楷體" w:hAnsi="標楷體" w:cs="標楷體"/>
          <w:bCs/>
          <w:sz w:val="28"/>
          <w:szCs w:val="32"/>
        </w:rPr>
        <w:t>草案第十二條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規範營運機構於電聯車因故停止使用超過一個月以上者，得不施行定期檢修。</w:t>
      </w:r>
      <w:r>
        <w:rPr>
          <w:rFonts w:ascii="標楷體" w:eastAsia="標楷體" w:hAnsi="標楷體" w:cs="標楷體"/>
          <w:bCs/>
          <w:sz w:val="28"/>
          <w:szCs w:val="32"/>
        </w:rPr>
        <w:t>(</w:t>
      </w:r>
      <w:r>
        <w:rPr>
          <w:rFonts w:ascii="標楷體" w:eastAsia="標楷體" w:hAnsi="標楷體" w:cs="標楷體"/>
          <w:bCs/>
          <w:sz w:val="28"/>
          <w:szCs w:val="32"/>
        </w:rPr>
        <w:t>草案第十三條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規範營運機構於電聯車停駛期間應執行適當維護，並於復行時施予必要之檢修。</w:t>
      </w:r>
      <w:r>
        <w:rPr>
          <w:rFonts w:ascii="標楷體" w:eastAsia="標楷體" w:hAnsi="標楷體" w:cs="標楷體"/>
          <w:bCs/>
          <w:sz w:val="28"/>
          <w:szCs w:val="32"/>
        </w:rPr>
        <w:t>(</w:t>
      </w:r>
      <w:r>
        <w:rPr>
          <w:rFonts w:ascii="標楷體" w:eastAsia="標楷體" w:hAnsi="標楷體" w:cs="標楷體"/>
          <w:bCs/>
          <w:sz w:val="28"/>
          <w:szCs w:val="32"/>
        </w:rPr>
        <w:t>草案第十四條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規範營運機構應訂定機具檢修等級、項目及周期等相關作業規定。</w:t>
      </w:r>
      <w:r>
        <w:rPr>
          <w:rFonts w:ascii="標楷體" w:eastAsia="標楷體" w:hAnsi="標楷體" w:cs="標楷體"/>
          <w:bCs/>
          <w:sz w:val="28"/>
          <w:szCs w:val="32"/>
        </w:rPr>
        <w:t>(</w:t>
      </w:r>
      <w:r>
        <w:rPr>
          <w:rFonts w:ascii="標楷體" w:eastAsia="標楷體" w:hAnsi="標楷體" w:cs="標楷體"/>
          <w:bCs/>
          <w:sz w:val="28"/>
          <w:szCs w:val="32"/>
        </w:rPr>
        <w:t>草案第十五條</w:t>
      </w:r>
      <w:r>
        <w:rPr>
          <w:rFonts w:ascii="標楷體" w:eastAsia="標楷體" w:hAnsi="標楷體" w:cs="標楷體"/>
          <w:bCs/>
          <w:sz w:val="28"/>
          <w:szCs w:val="32"/>
        </w:rPr>
        <w:t>)</w:t>
      </w:r>
      <w:r>
        <w:rPr>
          <w:rFonts w:ascii="標楷體" w:eastAsia="標楷體" w:hAnsi="標楷體" w:cs="標楷體"/>
          <w:bCs/>
          <w:sz w:val="28"/>
          <w:szCs w:val="32"/>
        </w:rPr>
        <w:tab/>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lastRenderedPageBreak/>
        <w:t>規範營運機構應將機具檢修相關資料建檔管理。</w:t>
      </w:r>
      <w:r>
        <w:rPr>
          <w:rFonts w:ascii="標楷體" w:eastAsia="標楷體" w:hAnsi="標楷體" w:cs="標楷體"/>
          <w:bCs/>
          <w:sz w:val="28"/>
          <w:szCs w:val="32"/>
        </w:rPr>
        <w:t>(</w:t>
      </w:r>
      <w:r>
        <w:rPr>
          <w:rFonts w:ascii="標楷體" w:eastAsia="標楷體" w:hAnsi="標楷體" w:cs="標楷體"/>
          <w:bCs/>
          <w:sz w:val="28"/>
          <w:szCs w:val="32"/>
        </w:rPr>
        <w:t>草案第十六條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規範營運機構應訂定車輛、機具檢修實施作業規定。</w:t>
      </w:r>
      <w:r>
        <w:rPr>
          <w:rFonts w:ascii="標楷體" w:eastAsia="標楷體" w:hAnsi="標楷體" w:cs="標楷體"/>
          <w:bCs/>
          <w:sz w:val="28"/>
          <w:szCs w:val="32"/>
        </w:rPr>
        <w:t>(</w:t>
      </w:r>
      <w:r>
        <w:rPr>
          <w:rFonts w:ascii="標楷體" w:eastAsia="標楷體" w:hAnsi="標楷體" w:cs="標楷體"/>
          <w:bCs/>
          <w:sz w:val="28"/>
          <w:szCs w:val="32"/>
        </w:rPr>
        <w:t>草案第十七條</w:t>
      </w:r>
      <w:r>
        <w:rPr>
          <w:rFonts w:ascii="標楷體" w:eastAsia="標楷體" w:hAnsi="標楷體" w:cs="標楷體"/>
          <w:bCs/>
          <w:sz w:val="28"/>
          <w:szCs w:val="32"/>
        </w:rPr>
        <w:t>)</w:t>
      </w:r>
    </w:p>
    <w:p w:rsidR="00261FD4" w:rsidRDefault="0081515D">
      <w:pPr>
        <w:numPr>
          <w:ilvl w:val="0"/>
          <w:numId w:val="1"/>
        </w:numPr>
        <w:overflowPunct w:val="0"/>
        <w:snapToGrid w:val="0"/>
        <w:spacing w:line="460" w:lineRule="exact"/>
        <w:ind w:left="896" w:hanging="896"/>
        <w:jc w:val="both"/>
        <w:rPr>
          <w:rFonts w:ascii="標楷體" w:eastAsia="標楷體" w:hAnsi="標楷體" w:cs="標楷體"/>
          <w:bCs/>
          <w:sz w:val="28"/>
          <w:szCs w:val="32"/>
        </w:rPr>
      </w:pPr>
      <w:r>
        <w:rPr>
          <w:rFonts w:ascii="標楷體" w:eastAsia="標楷體" w:hAnsi="標楷體" w:cs="標楷體"/>
          <w:bCs/>
          <w:sz w:val="28"/>
          <w:szCs w:val="32"/>
        </w:rPr>
        <w:t>本規則之施行日期。</w:t>
      </w:r>
      <w:r>
        <w:rPr>
          <w:rFonts w:ascii="標楷體" w:eastAsia="標楷體" w:hAnsi="標楷體" w:cs="標楷體"/>
          <w:bCs/>
          <w:sz w:val="28"/>
          <w:szCs w:val="32"/>
        </w:rPr>
        <w:t>(</w:t>
      </w:r>
      <w:r>
        <w:rPr>
          <w:rFonts w:ascii="標楷體" w:eastAsia="標楷體" w:hAnsi="標楷體" w:cs="標楷體"/>
          <w:bCs/>
          <w:sz w:val="28"/>
          <w:szCs w:val="32"/>
        </w:rPr>
        <w:t>草案第十八條</w:t>
      </w:r>
      <w:r>
        <w:rPr>
          <w:rFonts w:ascii="標楷體" w:eastAsia="標楷體" w:hAnsi="標楷體" w:cs="標楷體"/>
          <w:bCs/>
          <w:sz w:val="28"/>
          <w:szCs w:val="32"/>
        </w:rPr>
        <w:t>)</w:t>
      </w:r>
    </w:p>
    <w:p w:rsidR="00261FD4" w:rsidRDefault="00261FD4">
      <w:pPr>
        <w:overflowPunct w:val="0"/>
        <w:spacing w:line="460" w:lineRule="exact"/>
        <w:ind w:left="560" w:hanging="560"/>
        <w:jc w:val="both"/>
        <w:rPr>
          <w:rFonts w:ascii="標楷體" w:eastAsia="標楷體" w:hAnsi="標楷體" w:cs="標楷體"/>
          <w:bCs/>
          <w:sz w:val="28"/>
          <w:szCs w:val="32"/>
        </w:rPr>
      </w:pPr>
    </w:p>
    <w:p w:rsidR="00261FD4" w:rsidRDefault="00261FD4">
      <w:pPr>
        <w:overflowPunct w:val="0"/>
        <w:spacing w:line="460" w:lineRule="exact"/>
        <w:ind w:left="560" w:hanging="560"/>
        <w:jc w:val="both"/>
        <w:rPr>
          <w:rFonts w:ascii="標楷體" w:eastAsia="標楷體" w:hAnsi="標楷體" w:cs="標楷體"/>
          <w:bCs/>
          <w:sz w:val="28"/>
          <w:szCs w:val="32"/>
        </w:rPr>
      </w:pPr>
    </w:p>
    <w:p w:rsidR="00261FD4" w:rsidRDefault="00261FD4">
      <w:pPr>
        <w:overflowPunct w:val="0"/>
        <w:spacing w:line="460" w:lineRule="exact"/>
        <w:ind w:left="560" w:hanging="560"/>
        <w:jc w:val="both"/>
        <w:rPr>
          <w:rFonts w:ascii="標楷體" w:eastAsia="標楷體" w:hAnsi="標楷體" w:cs="標楷體"/>
          <w:bCs/>
          <w:sz w:val="28"/>
          <w:szCs w:val="32"/>
        </w:rPr>
      </w:pPr>
    </w:p>
    <w:p w:rsidR="00261FD4" w:rsidRDefault="00261FD4">
      <w:pPr>
        <w:overflowPunct w:val="0"/>
        <w:spacing w:line="460" w:lineRule="exact"/>
        <w:ind w:left="560" w:hanging="560"/>
        <w:jc w:val="both"/>
        <w:rPr>
          <w:rFonts w:ascii="標楷體" w:eastAsia="標楷體" w:hAnsi="標楷體" w:cs="標楷體"/>
          <w:bCs/>
          <w:sz w:val="28"/>
          <w:szCs w:val="32"/>
        </w:rPr>
      </w:pPr>
    </w:p>
    <w:p w:rsidR="00261FD4" w:rsidRDefault="0081515D">
      <w:pPr>
        <w:pageBreakBefore/>
        <w:overflowPunct w:val="0"/>
        <w:spacing w:line="460" w:lineRule="exact"/>
        <w:ind w:left="560" w:hanging="560"/>
        <w:jc w:val="both"/>
      </w:pPr>
      <w:proofErr w:type="gramStart"/>
      <w:r>
        <w:rPr>
          <w:rFonts w:ascii="標楷體" w:eastAsia="標楷體" w:hAnsi="標楷體"/>
          <w:sz w:val="40"/>
          <w:szCs w:val="40"/>
        </w:rPr>
        <w:lastRenderedPageBreak/>
        <w:t>臺</w:t>
      </w:r>
      <w:proofErr w:type="gramEnd"/>
      <w:r>
        <w:rPr>
          <w:rFonts w:ascii="標楷體" w:eastAsia="標楷體" w:hAnsi="標楷體"/>
          <w:sz w:val="40"/>
          <w:szCs w:val="40"/>
        </w:rPr>
        <w:t>中市大眾</w:t>
      </w:r>
      <w:r>
        <w:rPr>
          <w:rFonts w:ascii="標楷體" w:eastAsia="標楷體" w:hAnsi="標楷體"/>
          <w:sz w:val="40"/>
          <w:szCs w:val="40"/>
        </w:rPr>
        <w:t>捷運系統車輛機具檢修規則草案</w:t>
      </w:r>
    </w:p>
    <w:tbl>
      <w:tblPr>
        <w:tblW w:w="9003" w:type="dxa"/>
        <w:tblInd w:w="-106" w:type="dxa"/>
        <w:tblCellMar>
          <w:left w:w="10" w:type="dxa"/>
          <w:right w:w="10" w:type="dxa"/>
        </w:tblCellMar>
        <w:tblLook w:val="0000" w:firstRow="0" w:lastRow="0" w:firstColumn="0" w:lastColumn="0" w:noHBand="0" w:noVBand="0"/>
      </w:tblPr>
      <w:tblGrid>
        <w:gridCol w:w="4467"/>
        <w:gridCol w:w="4536"/>
      </w:tblGrid>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jc w:val="center"/>
              <w:rPr>
                <w:rFonts w:ascii="標楷體" w:eastAsia="標楷體" w:hAnsi="標楷體" w:cs="標楷體"/>
                <w:bCs/>
                <w:szCs w:val="32"/>
              </w:rPr>
            </w:pPr>
            <w:r>
              <w:rPr>
                <w:rFonts w:ascii="標楷體" w:eastAsia="標楷體" w:hAnsi="標楷體" w:cs="標楷體"/>
                <w:bCs/>
                <w:szCs w:val="32"/>
              </w:rPr>
              <w:t>名稱</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jc w:val="center"/>
            </w:pPr>
            <w:r>
              <w:rPr>
                <w:rFonts w:ascii="標楷體" w:eastAsia="標楷體" w:hAnsi="標楷體" w:cs="標楷體"/>
                <w:bCs/>
                <w:szCs w:val="32"/>
              </w:rPr>
              <w:t>說明</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rPr>
                <w:rFonts w:ascii="標楷體" w:eastAsia="標楷體" w:hAnsi="標楷體"/>
                <w:szCs w:val="24"/>
              </w:rPr>
            </w:pPr>
            <w:proofErr w:type="gramStart"/>
            <w:r>
              <w:rPr>
                <w:rFonts w:ascii="標楷體" w:eastAsia="標楷體" w:hAnsi="標楷體"/>
                <w:szCs w:val="24"/>
              </w:rPr>
              <w:t>臺</w:t>
            </w:r>
            <w:proofErr w:type="gramEnd"/>
            <w:r>
              <w:rPr>
                <w:rFonts w:ascii="標楷體" w:eastAsia="標楷體" w:hAnsi="標楷體"/>
                <w:szCs w:val="24"/>
              </w:rPr>
              <w:t>中市大眾捷運系統車輛機具檢修規則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jc w:val="both"/>
              <w:rPr>
                <w:rFonts w:ascii="標楷體" w:eastAsia="標楷體" w:hAnsi="標楷體"/>
                <w:szCs w:val="24"/>
              </w:rPr>
            </w:pPr>
            <w:r>
              <w:rPr>
                <w:rFonts w:ascii="標楷體" w:eastAsia="標楷體" w:hAnsi="標楷體"/>
                <w:szCs w:val="24"/>
              </w:rPr>
              <w:t>法規名稱。</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center"/>
              <w:rPr>
                <w:rFonts w:ascii="標楷體" w:eastAsia="標楷體" w:hAnsi="標楷體" w:cs="標楷體"/>
                <w:bCs/>
                <w:szCs w:val="32"/>
              </w:rPr>
            </w:pPr>
            <w:r>
              <w:rPr>
                <w:rFonts w:ascii="標楷體" w:eastAsia="標楷體" w:hAnsi="標楷體" w:cs="標楷體"/>
                <w:bCs/>
                <w:szCs w:val="32"/>
              </w:rPr>
              <w:t>條文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center"/>
            </w:pPr>
            <w:r>
              <w:rPr>
                <w:rFonts w:ascii="標楷體" w:eastAsia="標楷體" w:hAnsi="標楷體" w:cs="標楷體"/>
                <w:bCs/>
                <w:szCs w:val="32"/>
              </w:rPr>
              <w:t>說明</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50" w:hanging="240"/>
              <w:jc w:val="both"/>
              <w:rPr>
                <w:rFonts w:ascii="標楷體" w:eastAsia="標楷體" w:hAnsi="標楷體"/>
                <w:szCs w:val="24"/>
              </w:rPr>
            </w:pPr>
            <w:r>
              <w:rPr>
                <w:rFonts w:ascii="標楷體" w:eastAsia="標楷體" w:hAnsi="標楷體"/>
                <w:szCs w:val="24"/>
              </w:rPr>
              <w:t>第一章</w:t>
            </w:r>
            <w:r>
              <w:rPr>
                <w:rFonts w:ascii="標楷體" w:eastAsia="標楷體" w:hAnsi="標楷體"/>
                <w:szCs w:val="24"/>
              </w:rPr>
              <w:t xml:space="preserve">  </w:t>
            </w:r>
            <w:r>
              <w:rPr>
                <w:rFonts w:ascii="標楷體" w:eastAsia="標楷體" w:hAnsi="標楷體"/>
                <w:szCs w:val="24"/>
              </w:rPr>
              <w:t>總則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proofErr w:type="gramStart"/>
            <w:r>
              <w:rPr>
                <w:rFonts w:ascii="標楷體" w:eastAsia="標楷體" w:hAnsi="標楷體"/>
                <w:szCs w:val="24"/>
              </w:rPr>
              <w:t>章名</w:t>
            </w:r>
            <w:proofErr w:type="gramEnd"/>
            <w:r>
              <w:rPr>
                <w:rFonts w:ascii="標楷體" w:eastAsia="標楷體" w:hAnsi="標楷體"/>
                <w:szCs w:val="24"/>
              </w:rPr>
              <w:t>。</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第一條</w:t>
            </w:r>
            <w:r>
              <w:rPr>
                <w:rFonts w:ascii="標楷體" w:eastAsia="標楷體" w:hAnsi="標楷體"/>
                <w:szCs w:val="24"/>
              </w:rPr>
              <w:t xml:space="preserve">  </w:t>
            </w:r>
            <w:r>
              <w:rPr>
                <w:rFonts w:ascii="標楷體" w:eastAsia="標楷體" w:hAnsi="標楷體"/>
                <w:szCs w:val="24"/>
              </w:rPr>
              <w:t>本規則依大眾捷運法第五十三</w:t>
            </w:r>
            <w:r>
              <w:rPr>
                <w:rFonts w:ascii="標楷體" w:eastAsia="標楷體" w:hAnsi="標楷體"/>
                <w:szCs w:val="24"/>
              </w:rPr>
              <w:t xml:space="preserve"> </w:t>
            </w:r>
            <w:r>
              <w:rPr>
                <w:rFonts w:ascii="標楷體" w:eastAsia="標楷體" w:hAnsi="標楷體"/>
                <w:szCs w:val="24"/>
              </w:rPr>
              <w:t>條規定訂定之。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pPr>
            <w:r>
              <w:rPr>
                <w:rFonts w:ascii="標楷體" w:eastAsia="標楷體" w:hAnsi="標楷體"/>
                <w:szCs w:val="24"/>
              </w:rPr>
              <w:t>本規則訂定之法源依據。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ind w:left="240" w:hanging="240"/>
              <w:jc w:val="both"/>
              <w:rPr>
                <w:rFonts w:ascii="標楷體" w:eastAsia="標楷體" w:hAnsi="標楷體"/>
                <w:szCs w:val="24"/>
              </w:rPr>
            </w:pPr>
            <w:r>
              <w:rPr>
                <w:rFonts w:ascii="標楷體" w:eastAsia="標楷體" w:hAnsi="標楷體"/>
                <w:szCs w:val="24"/>
              </w:rPr>
              <w:t>第二條</w:t>
            </w:r>
            <w:r>
              <w:rPr>
                <w:rFonts w:ascii="標楷體" w:eastAsia="標楷體" w:hAnsi="標楷體"/>
                <w:szCs w:val="24"/>
              </w:rPr>
              <w:t xml:space="preserve">  </w:t>
            </w:r>
            <w:r>
              <w:rPr>
                <w:rFonts w:ascii="標楷體" w:eastAsia="標楷體" w:hAnsi="標楷體"/>
                <w:szCs w:val="24"/>
              </w:rPr>
              <w:t>本規則以</w:t>
            </w:r>
            <w:proofErr w:type="gramStart"/>
            <w:r>
              <w:rPr>
                <w:rFonts w:ascii="標楷體" w:eastAsia="標楷體" w:hAnsi="標楷體"/>
                <w:szCs w:val="24"/>
              </w:rPr>
              <w:t>臺</w:t>
            </w:r>
            <w:proofErr w:type="gramEnd"/>
            <w:r>
              <w:rPr>
                <w:rFonts w:ascii="標楷體" w:eastAsia="標楷體" w:hAnsi="標楷體"/>
                <w:szCs w:val="24"/>
              </w:rPr>
              <w:t>中市政府（以下簡</w:t>
            </w:r>
            <w:r>
              <w:rPr>
                <w:rFonts w:ascii="標楷體" w:eastAsia="標楷體" w:hAnsi="標楷體"/>
                <w:szCs w:val="24"/>
              </w:rPr>
              <w:t xml:space="preserve">   </w:t>
            </w:r>
            <w:r>
              <w:rPr>
                <w:rFonts w:ascii="標楷體" w:eastAsia="標楷體" w:hAnsi="標楷體"/>
                <w:szCs w:val="24"/>
              </w:rPr>
              <w:t>稱本府）主管之大眾捷運系統營運機構</w:t>
            </w:r>
            <w:r>
              <w:rPr>
                <w:rFonts w:ascii="標楷體" w:eastAsia="標楷體" w:hAnsi="標楷體"/>
                <w:szCs w:val="24"/>
              </w:rPr>
              <w:t>(</w:t>
            </w:r>
            <w:r>
              <w:rPr>
                <w:rFonts w:ascii="標楷體" w:eastAsia="標楷體" w:hAnsi="標楷體"/>
                <w:szCs w:val="24"/>
              </w:rPr>
              <w:t>以下簡稱營運機構</w:t>
            </w:r>
            <w:r>
              <w:rPr>
                <w:rFonts w:ascii="標楷體" w:eastAsia="標楷體" w:hAnsi="標楷體"/>
                <w:szCs w:val="24"/>
              </w:rPr>
              <w:t>)</w:t>
            </w:r>
            <w:r>
              <w:rPr>
                <w:rFonts w:ascii="標楷體" w:eastAsia="標楷體" w:hAnsi="標楷體"/>
                <w:szCs w:val="24"/>
              </w:rPr>
              <w:t>為適用範圍。</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本規則適用範圍。</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本規則所稱車輛，係指各種形式之電聯車。所稱機具，係指機車、工作台車及搶修之相關器具等。</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pStyle w:val="a7"/>
              <w:overflowPunct w:val="0"/>
              <w:ind w:hanging="281"/>
              <w:jc w:val="left"/>
              <w:rPr>
                <w:color w:val="auto"/>
              </w:rPr>
            </w:pPr>
            <w:r>
              <w:rPr>
                <w:color w:val="auto"/>
              </w:rPr>
              <w:t>本規則所稱車輛、機具之定義。</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50" w:hanging="240"/>
              <w:jc w:val="both"/>
              <w:rPr>
                <w:rFonts w:ascii="標楷體" w:eastAsia="標楷體" w:hAnsi="標楷體"/>
                <w:szCs w:val="24"/>
              </w:rPr>
            </w:pPr>
            <w:r>
              <w:rPr>
                <w:rFonts w:ascii="標楷體" w:eastAsia="標楷體" w:hAnsi="標楷體"/>
                <w:szCs w:val="24"/>
              </w:rPr>
              <w:t>第二章</w:t>
            </w:r>
            <w:r>
              <w:rPr>
                <w:rFonts w:ascii="標楷體" w:eastAsia="標楷體" w:hAnsi="標楷體"/>
                <w:szCs w:val="24"/>
              </w:rPr>
              <w:t xml:space="preserve">  </w:t>
            </w:r>
            <w:r>
              <w:rPr>
                <w:rFonts w:ascii="標楷體" w:eastAsia="標楷體" w:hAnsi="標楷體"/>
                <w:szCs w:val="24"/>
              </w:rPr>
              <w:t>電聯車檢修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proofErr w:type="gramStart"/>
            <w:r>
              <w:rPr>
                <w:rFonts w:ascii="標楷體" w:eastAsia="標楷體" w:hAnsi="標楷體"/>
                <w:szCs w:val="24"/>
              </w:rPr>
              <w:t>章名</w:t>
            </w:r>
            <w:proofErr w:type="gramEnd"/>
            <w:r>
              <w:rPr>
                <w:rFonts w:ascii="標楷體" w:eastAsia="標楷體" w:hAnsi="標楷體"/>
                <w:szCs w:val="24"/>
              </w:rPr>
              <w:t>。</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第四條</w:t>
            </w:r>
            <w:r>
              <w:rPr>
                <w:rFonts w:ascii="標楷體" w:eastAsia="標楷體" w:hAnsi="標楷體"/>
                <w:szCs w:val="24"/>
              </w:rPr>
              <w:t xml:space="preserve">  </w:t>
            </w:r>
            <w:r>
              <w:rPr>
                <w:rFonts w:ascii="標楷體" w:eastAsia="標楷體" w:hAnsi="標楷體"/>
                <w:szCs w:val="24"/>
              </w:rPr>
              <w:t>電聯車檢修分為定期檢修及臨時檢修兩種。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pPr>
            <w:proofErr w:type="gramStart"/>
            <w:r>
              <w:rPr>
                <w:rFonts w:ascii="標楷體" w:eastAsia="標楷體" w:hAnsi="標楷體"/>
                <w:szCs w:val="24"/>
              </w:rPr>
              <w:t>明定電聯</w:t>
            </w:r>
            <w:proofErr w:type="gramEnd"/>
            <w:r>
              <w:rPr>
                <w:rFonts w:ascii="標楷體" w:eastAsia="標楷體" w:hAnsi="標楷體"/>
                <w:szCs w:val="24"/>
              </w:rPr>
              <w:t>車之檢修型式。</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第五條</w:t>
            </w:r>
            <w:r>
              <w:rPr>
                <w:rFonts w:ascii="標楷體" w:eastAsia="標楷體" w:hAnsi="標楷體"/>
                <w:szCs w:val="24"/>
              </w:rPr>
              <w:t xml:space="preserve">  </w:t>
            </w:r>
            <w:r>
              <w:rPr>
                <w:rFonts w:ascii="標楷體" w:eastAsia="標楷體" w:hAnsi="標楷體"/>
                <w:szCs w:val="24"/>
              </w:rPr>
              <w:t>定期檢修分為五級，其各級檢修工作重點如下：</w:t>
            </w:r>
          </w:p>
          <w:p w:rsidR="00261FD4" w:rsidRDefault="0081515D">
            <w:pPr>
              <w:numPr>
                <w:ilvl w:val="2"/>
                <w:numId w:val="2"/>
              </w:numPr>
              <w:overflowPunct w:val="0"/>
              <w:ind w:left="722" w:hanging="482"/>
              <w:jc w:val="both"/>
              <w:rPr>
                <w:rFonts w:ascii="標楷體" w:eastAsia="標楷體" w:hAnsi="標楷體"/>
                <w:szCs w:val="24"/>
              </w:rPr>
            </w:pPr>
            <w:r>
              <w:rPr>
                <w:rFonts w:ascii="標楷體" w:eastAsia="標楷體" w:hAnsi="標楷體"/>
                <w:szCs w:val="24"/>
              </w:rPr>
              <w:t>一級檢修：以視覺、聽覺、觸覺，就有關行車主要機件、車廂及其設備等之狀態及作用施行之檢修。</w:t>
            </w:r>
          </w:p>
          <w:p w:rsidR="00261FD4" w:rsidRDefault="0081515D">
            <w:pPr>
              <w:numPr>
                <w:ilvl w:val="2"/>
                <w:numId w:val="2"/>
              </w:numPr>
              <w:overflowPunct w:val="0"/>
              <w:ind w:left="722" w:hanging="482"/>
              <w:rPr>
                <w:rFonts w:ascii="標楷體" w:eastAsia="標楷體" w:hAnsi="標楷體"/>
                <w:szCs w:val="24"/>
              </w:rPr>
            </w:pPr>
            <w:r>
              <w:rPr>
                <w:rFonts w:ascii="標楷體" w:eastAsia="標楷體" w:hAnsi="標楷體"/>
                <w:szCs w:val="24"/>
              </w:rPr>
              <w:t>二級檢修：以清洗、</w:t>
            </w:r>
            <w:proofErr w:type="gramStart"/>
            <w:r>
              <w:rPr>
                <w:rFonts w:ascii="標楷體" w:eastAsia="標楷體" w:hAnsi="標楷體"/>
                <w:szCs w:val="24"/>
              </w:rPr>
              <w:t>注油</w:t>
            </w:r>
            <w:proofErr w:type="gramEnd"/>
            <w:r>
              <w:rPr>
                <w:rFonts w:ascii="標楷體" w:eastAsia="標楷體" w:hAnsi="標楷體"/>
                <w:szCs w:val="24"/>
              </w:rPr>
              <w:t>、測量等方式保持動力、傳動、行駛、煞車等機件裝置外表清潔、動作圓滑、使用狀態正常之檢修。</w:t>
            </w:r>
          </w:p>
          <w:p w:rsidR="00261FD4" w:rsidRDefault="0081515D">
            <w:pPr>
              <w:numPr>
                <w:ilvl w:val="2"/>
                <w:numId w:val="2"/>
              </w:numPr>
              <w:overflowPunct w:val="0"/>
              <w:ind w:left="722" w:hanging="482"/>
              <w:rPr>
                <w:rFonts w:ascii="標楷體" w:eastAsia="標楷體" w:hAnsi="標楷體"/>
                <w:szCs w:val="24"/>
              </w:rPr>
            </w:pPr>
            <w:r>
              <w:rPr>
                <w:rFonts w:ascii="標楷體" w:eastAsia="標楷體" w:hAnsi="標楷體"/>
                <w:szCs w:val="24"/>
              </w:rPr>
              <w:t>三級檢修：以局部拆卸分解施行檢驗、調整、校正、測試等方式保持動力、傳動、行駛、煞車、儀</w:t>
            </w:r>
            <w:proofErr w:type="gramStart"/>
            <w:r>
              <w:rPr>
                <w:rFonts w:ascii="標楷體" w:eastAsia="標楷體" w:hAnsi="標楷體"/>
                <w:szCs w:val="24"/>
              </w:rPr>
              <w:t>錶</w:t>
            </w:r>
            <w:proofErr w:type="gramEnd"/>
            <w:r>
              <w:rPr>
                <w:rFonts w:ascii="標楷體" w:eastAsia="標楷體" w:hAnsi="標楷體"/>
                <w:szCs w:val="24"/>
              </w:rPr>
              <w:t>等機件裝置性能正常之檢修。</w:t>
            </w:r>
          </w:p>
          <w:p w:rsidR="00261FD4" w:rsidRDefault="0081515D">
            <w:pPr>
              <w:numPr>
                <w:ilvl w:val="2"/>
                <w:numId w:val="2"/>
              </w:numPr>
              <w:overflowPunct w:val="0"/>
              <w:ind w:left="722" w:hanging="482"/>
              <w:rPr>
                <w:rFonts w:ascii="標楷體" w:eastAsia="標楷體" w:hAnsi="標楷體"/>
                <w:szCs w:val="24"/>
              </w:rPr>
            </w:pPr>
            <w:r>
              <w:rPr>
                <w:rFonts w:ascii="標楷體" w:eastAsia="標楷體" w:hAnsi="標楷體"/>
                <w:szCs w:val="24"/>
              </w:rPr>
              <w:t>四級檢修：對動力、傳動、行駛、煞車、儀</w:t>
            </w:r>
            <w:proofErr w:type="gramStart"/>
            <w:r>
              <w:rPr>
                <w:rFonts w:ascii="標楷體" w:eastAsia="標楷體" w:hAnsi="標楷體"/>
                <w:szCs w:val="24"/>
              </w:rPr>
              <w:t>錶</w:t>
            </w:r>
            <w:proofErr w:type="gramEnd"/>
            <w:r>
              <w:rPr>
                <w:rFonts w:ascii="標楷體" w:eastAsia="標楷體" w:hAnsi="標楷體"/>
                <w:szCs w:val="24"/>
              </w:rPr>
              <w:t>、車廂、聯結器、控制、電氣輔助等主要機件之特定部分施行拆卸分解之檢修。</w:t>
            </w:r>
          </w:p>
          <w:p w:rsidR="00261FD4" w:rsidRDefault="0081515D">
            <w:pPr>
              <w:numPr>
                <w:ilvl w:val="2"/>
                <w:numId w:val="2"/>
              </w:numPr>
              <w:overflowPunct w:val="0"/>
              <w:ind w:left="722" w:hanging="482"/>
              <w:rPr>
                <w:rFonts w:ascii="標楷體" w:eastAsia="標楷體" w:hAnsi="標楷體"/>
                <w:szCs w:val="24"/>
              </w:rPr>
            </w:pPr>
            <w:r>
              <w:rPr>
                <w:rFonts w:ascii="標楷體" w:eastAsia="標楷體" w:hAnsi="標楷體"/>
                <w:szCs w:val="24"/>
              </w:rPr>
              <w:t>五級檢修：對一般機件施行徹底檢查，各重要機件施行重整之檢修。</w:t>
            </w:r>
          </w:p>
          <w:p w:rsidR="00261FD4" w:rsidRDefault="0081515D">
            <w:pPr>
              <w:overflowPunct w:val="0"/>
              <w:ind w:left="240" w:firstLine="480"/>
              <w:jc w:val="both"/>
              <w:rPr>
                <w:rFonts w:ascii="標楷體" w:eastAsia="標楷體" w:hAnsi="標楷體"/>
                <w:szCs w:val="24"/>
              </w:rPr>
            </w:pPr>
            <w:r>
              <w:rPr>
                <w:rFonts w:ascii="標楷體" w:eastAsia="標楷體" w:hAnsi="標楷體"/>
                <w:szCs w:val="24"/>
              </w:rPr>
              <w:t>前項所列較高等級檢修應含次級檢修項目。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明定定期檢修分為五級，並規範各級檢修工作內容。</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第六條</w:t>
            </w:r>
            <w:r>
              <w:rPr>
                <w:rFonts w:ascii="標楷體" w:eastAsia="標楷體" w:hAnsi="標楷體"/>
                <w:szCs w:val="24"/>
              </w:rPr>
              <w:t xml:space="preserve">  </w:t>
            </w:r>
            <w:r>
              <w:rPr>
                <w:rFonts w:ascii="標楷體" w:eastAsia="標楷體" w:hAnsi="標楷體"/>
                <w:szCs w:val="24"/>
              </w:rPr>
              <w:t>電聯車定期檢修，其各級檢修項目由營運機構依電聯車種類擬訂，</w:t>
            </w:r>
            <w:r>
              <w:rPr>
                <w:rFonts w:ascii="標楷體" w:eastAsia="標楷體" w:hAnsi="標楷體"/>
                <w:szCs w:val="24"/>
              </w:rPr>
              <w:lastRenderedPageBreak/>
              <w:t>報請本府核定。</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lastRenderedPageBreak/>
              <w:t>規範營運機構擬訂之電聯車定期檢修項目，應報請本府核定。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第七條</w:t>
            </w:r>
            <w:r>
              <w:rPr>
                <w:rFonts w:ascii="標楷體" w:eastAsia="標楷體" w:hAnsi="標楷體"/>
                <w:szCs w:val="24"/>
              </w:rPr>
              <w:t xml:space="preserve">  </w:t>
            </w:r>
            <w:r>
              <w:rPr>
                <w:rFonts w:ascii="標楷體" w:eastAsia="標楷體" w:hAnsi="標楷體"/>
                <w:szCs w:val="24"/>
              </w:rPr>
              <w:t>電聯車定期檢修，其各級檢修週期由營運機構依電聯車行駛公里數或使用期間擬訂，報請本府核定。</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規範營運機構應依電聯車行駛公里數或使用期間訂定檢修週期，報請本府核定。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第八條</w:t>
            </w:r>
            <w:r>
              <w:rPr>
                <w:rFonts w:ascii="標楷體" w:eastAsia="標楷體" w:hAnsi="標楷體"/>
                <w:szCs w:val="24"/>
              </w:rPr>
              <w:t xml:space="preserve">  </w:t>
            </w:r>
            <w:r>
              <w:rPr>
                <w:rFonts w:ascii="標楷體" w:eastAsia="標楷體" w:hAnsi="標楷體"/>
                <w:szCs w:val="24"/>
              </w:rPr>
              <w:t>電聯車於每日營運前，應就下列項目之狀態及作用施行檢查：</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聯結裝置。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煞車裝置。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行駛裝置。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空調系統。</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車門裝置。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電氣裝置。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警示信號裝置。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照明設備。</w:t>
            </w:r>
          </w:p>
          <w:p w:rsidR="00261FD4" w:rsidRDefault="0081515D">
            <w:pPr>
              <w:numPr>
                <w:ilvl w:val="0"/>
                <w:numId w:val="3"/>
              </w:numPr>
              <w:overflowPunct w:val="0"/>
              <w:ind w:left="722" w:hanging="482"/>
              <w:jc w:val="both"/>
            </w:pPr>
            <w:r>
              <w:rPr>
                <w:rFonts w:ascii="標楷體" w:eastAsia="標楷體" w:hAnsi="標楷體"/>
                <w:szCs w:val="24"/>
              </w:rPr>
              <w:t>逃生裝置。</w:t>
            </w:r>
          </w:p>
          <w:p w:rsidR="00261FD4" w:rsidRDefault="0081515D">
            <w:pPr>
              <w:numPr>
                <w:ilvl w:val="0"/>
                <w:numId w:val="3"/>
              </w:numPr>
              <w:overflowPunct w:val="0"/>
              <w:ind w:left="722" w:hanging="482"/>
              <w:jc w:val="both"/>
              <w:rPr>
                <w:rFonts w:ascii="標楷體" w:eastAsia="標楷體" w:hAnsi="標楷體"/>
                <w:szCs w:val="24"/>
              </w:rPr>
            </w:pPr>
            <w:r>
              <w:rPr>
                <w:rFonts w:ascii="標楷體" w:eastAsia="標楷體" w:hAnsi="標楷體"/>
                <w:szCs w:val="24"/>
              </w:rPr>
              <w:t>車內設備。</w:t>
            </w:r>
          </w:p>
          <w:p w:rsidR="00261FD4" w:rsidRDefault="0081515D">
            <w:pPr>
              <w:numPr>
                <w:ilvl w:val="0"/>
                <w:numId w:val="3"/>
              </w:numPr>
              <w:overflowPunct w:val="0"/>
              <w:ind w:left="977" w:hanging="737"/>
              <w:jc w:val="both"/>
              <w:rPr>
                <w:rFonts w:ascii="標楷體" w:eastAsia="標楷體" w:hAnsi="標楷體"/>
                <w:szCs w:val="24"/>
              </w:rPr>
            </w:pPr>
            <w:r>
              <w:rPr>
                <w:rFonts w:ascii="標楷體" w:eastAsia="標楷體" w:hAnsi="標楷體"/>
                <w:szCs w:val="24"/>
              </w:rPr>
              <w:t>擋風裝置。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規範營運機構每日營運前應施行電聯車檢查項目。</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第九條</w:t>
            </w:r>
            <w:r>
              <w:rPr>
                <w:rFonts w:ascii="標楷體" w:eastAsia="標楷體" w:hAnsi="標楷體"/>
                <w:szCs w:val="24"/>
              </w:rPr>
              <w:t xml:space="preserve">  </w:t>
            </w:r>
            <w:r>
              <w:rPr>
                <w:rFonts w:ascii="標楷體" w:eastAsia="標楷體" w:hAnsi="標楷體"/>
                <w:szCs w:val="24"/>
              </w:rPr>
              <w:t>電聯車有下列情事之</w:t>
            </w:r>
            <w:proofErr w:type="gramStart"/>
            <w:r>
              <w:rPr>
                <w:rFonts w:ascii="標楷體" w:eastAsia="標楷體" w:hAnsi="標楷體"/>
                <w:szCs w:val="24"/>
              </w:rPr>
              <w:t>一</w:t>
            </w:r>
            <w:proofErr w:type="gramEnd"/>
            <w:r>
              <w:rPr>
                <w:rFonts w:ascii="標楷體" w:eastAsia="標楷體" w:hAnsi="標楷體"/>
                <w:szCs w:val="24"/>
              </w:rPr>
              <w:t>者，應施行臨時檢修：</w:t>
            </w:r>
          </w:p>
          <w:p w:rsidR="00261FD4" w:rsidRDefault="0081515D">
            <w:pPr>
              <w:numPr>
                <w:ilvl w:val="0"/>
                <w:numId w:val="4"/>
              </w:numPr>
              <w:overflowPunct w:val="0"/>
              <w:ind w:left="722" w:hanging="482"/>
              <w:jc w:val="both"/>
              <w:rPr>
                <w:rFonts w:ascii="標楷體" w:eastAsia="標楷體" w:hAnsi="標楷體"/>
                <w:szCs w:val="24"/>
              </w:rPr>
            </w:pPr>
            <w:r>
              <w:rPr>
                <w:rFonts w:ascii="標楷體" w:eastAsia="標楷體" w:hAnsi="標楷體"/>
                <w:szCs w:val="24"/>
              </w:rPr>
              <w:t>發生事故者。</w:t>
            </w:r>
          </w:p>
          <w:p w:rsidR="00261FD4" w:rsidRDefault="0081515D">
            <w:pPr>
              <w:numPr>
                <w:ilvl w:val="0"/>
                <w:numId w:val="4"/>
              </w:numPr>
              <w:overflowPunct w:val="0"/>
              <w:ind w:left="722" w:hanging="482"/>
              <w:jc w:val="both"/>
              <w:rPr>
                <w:rFonts w:ascii="標楷體" w:eastAsia="標楷體" w:hAnsi="標楷體"/>
                <w:szCs w:val="24"/>
              </w:rPr>
            </w:pPr>
            <w:r>
              <w:rPr>
                <w:rFonts w:ascii="標楷體" w:eastAsia="標楷體" w:hAnsi="標楷體"/>
                <w:szCs w:val="24"/>
              </w:rPr>
              <w:t>發生故障或有故障之虞者。</w:t>
            </w:r>
          </w:p>
          <w:p w:rsidR="00261FD4" w:rsidRDefault="0081515D">
            <w:pPr>
              <w:numPr>
                <w:ilvl w:val="0"/>
                <w:numId w:val="4"/>
              </w:numPr>
              <w:overflowPunct w:val="0"/>
              <w:ind w:left="722" w:hanging="482"/>
              <w:jc w:val="both"/>
              <w:rPr>
                <w:rFonts w:ascii="標楷體" w:eastAsia="標楷體" w:hAnsi="標楷體"/>
                <w:szCs w:val="24"/>
              </w:rPr>
            </w:pPr>
            <w:r>
              <w:rPr>
                <w:rFonts w:ascii="標楷體" w:eastAsia="標楷體" w:hAnsi="標楷體"/>
                <w:szCs w:val="24"/>
              </w:rPr>
              <w:t>其他認為有檢修之必要者。</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pPr>
            <w:proofErr w:type="gramStart"/>
            <w:r>
              <w:rPr>
                <w:rFonts w:ascii="標楷體" w:eastAsia="標楷體" w:hAnsi="標楷體" w:cs="標楷體"/>
                <w:bCs/>
                <w:szCs w:val="24"/>
              </w:rPr>
              <w:t>明定電聯</w:t>
            </w:r>
            <w:proofErr w:type="gramEnd"/>
            <w:r>
              <w:rPr>
                <w:rFonts w:ascii="標楷體" w:eastAsia="標楷體" w:hAnsi="標楷體" w:cs="標楷體"/>
                <w:bCs/>
                <w:szCs w:val="24"/>
              </w:rPr>
              <w:t>車執行臨時檢修時機。</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第十條</w:t>
            </w:r>
            <w:r>
              <w:rPr>
                <w:rFonts w:ascii="標楷體" w:eastAsia="標楷體" w:hAnsi="標楷體"/>
                <w:szCs w:val="24"/>
              </w:rPr>
              <w:t xml:space="preserve">  </w:t>
            </w:r>
            <w:r>
              <w:rPr>
                <w:rFonts w:ascii="標楷體" w:eastAsia="標楷體" w:hAnsi="標楷體"/>
                <w:szCs w:val="24"/>
              </w:rPr>
              <w:t>電聯車動力、傳動、行駛、懸吊、聯結及煞車裝置之主要部分，施行臨時檢修時，應同時施行一級檢修。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規範營運機構施行電聯車主要部件臨時檢修作業時應一併施行一級檢修作業。</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第十一條</w:t>
            </w:r>
            <w:r>
              <w:rPr>
                <w:rFonts w:ascii="標楷體" w:eastAsia="標楷體" w:hAnsi="標楷體"/>
                <w:szCs w:val="24"/>
              </w:rPr>
              <w:t xml:space="preserve">  </w:t>
            </w:r>
            <w:r>
              <w:rPr>
                <w:rFonts w:ascii="標楷體" w:eastAsia="標楷體" w:hAnsi="標楷體"/>
                <w:szCs w:val="24"/>
              </w:rPr>
              <w:t>檢修完畢之電聯車，應將檢修級別、項目、日期及施行單位等資料建檔管理。</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規範營運機構應將電聯車檢修資料建檔並保存管理。</w:t>
            </w:r>
          </w:p>
          <w:p w:rsidR="00261FD4" w:rsidRDefault="00261FD4">
            <w:pPr>
              <w:jc w:val="both"/>
              <w:rPr>
                <w:rFonts w:ascii="標楷體" w:eastAsia="標楷體" w:hAnsi="標楷體"/>
                <w:szCs w:val="24"/>
              </w:rPr>
            </w:pP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rPr>
                <w:rFonts w:ascii="標楷體" w:eastAsia="標楷體" w:hAnsi="標楷體"/>
                <w:szCs w:val="24"/>
              </w:rPr>
            </w:pPr>
            <w:r>
              <w:rPr>
                <w:rFonts w:ascii="標楷體" w:eastAsia="標楷體" w:hAnsi="標楷體"/>
                <w:szCs w:val="24"/>
              </w:rPr>
              <w:t>第十二條</w:t>
            </w:r>
            <w:r>
              <w:rPr>
                <w:rFonts w:ascii="標楷體" w:eastAsia="標楷體" w:hAnsi="標楷體"/>
                <w:szCs w:val="24"/>
              </w:rPr>
              <w:t xml:space="preserve">  </w:t>
            </w:r>
            <w:r>
              <w:rPr>
                <w:rFonts w:ascii="標楷體" w:eastAsia="標楷體" w:hAnsi="標楷體"/>
                <w:szCs w:val="24"/>
              </w:rPr>
              <w:t>電聯車有下列情事之</w:t>
            </w:r>
            <w:proofErr w:type="gramStart"/>
            <w:r>
              <w:rPr>
                <w:rFonts w:ascii="標楷體" w:eastAsia="標楷體" w:hAnsi="標楷體"/>
                <w:szCs w:val="24"/>
              </w:rPr>
              <w:t>一</w:t>
            </w:r>
            <w:proofErr w:type="gramEnd"/>
            <w:r>
              <w:rPr>
                <w:rFonts w:ascii="標楷體" w:eastAsia="標楷體" w:hAnsi="標楷體"/>
                <w:szCs w:val="24"/>
              </w:rPr>
              <w:t>者，應施行試車：</w:t>
            </w:r>
          </w:p>
          <w:p w:rsidR="00261FD4" w:rsidRDefault="0081515D">
            <w:pPr>
              <w:numPr>
                <w:ilvl w:val="0"/>
                <w:numId w:val="5"/>
              </w:numPr>
              <w:overflowPunct w:val="0"/>
              <w:ind w:left="722" w:hanging="482"/>
              <w:jc w:val="both"/>
              <w:rPr>
                <w:rFonts w:ascii="標楷體" w:eastAsia="標楷體" w:hAnsi="標楷體"/>
                <w:spacing w:val="-8"/>
                <w:szCs w:val="24"/>
              </w:rPr>
            </w:pPr>
            <w:r>
              <w:rPr>
                <w:rFonts w:ascii="標楷體" w:eastAsia="標楷體" w:hAnsi="標楷體"/>
                <w:spacing w:val="-8"/>
                <w:szCs w:val="24"/>
              </w:rPr>
              <w:t>施行四級檢修以上之檢修者。</w:t>
            </w:r>
          </w:p>
          <w:p w:rsidR="00261FD4" w:rsidRDefault="0081515D">
            <w:pPr>
              <w:numPr>
                <w:ilvl w:val="0"/>
                <w:numId w:val="5"/>
              </w:numPr>
              <w:overflowPunct w:val="0"/>
              <w:ind w:left="722" w:hanging="482"/>
              <w:rPr>
                <w:rFonts w:ascii="標楷體" w:eastAsia="標楷體" w:hAnsi="標楷體"/>
                <w:spacing w:val="-8"/>
                <w:szCs w:val="24"/>
              </w:rPr>
            </w:pPr>
            <w:r>
              <w:rPr>
                <w:rFonts w:ascii="標楷體" w:eastAsia="標楷體" w:hAnsi="標楷體"/>
                <w:spacing w:val="-8"/>
                <w:szCs w:val="24"/>
              </w:rPr>
              <w:t>施行臨時檢修時認有必要者。</w:t>
            </w:r>
          </w:p>
          <w:p w:rsidR="00261FD4" w:rsidRDefault="0081515D">
            <w:pPr>
              <w:numPr>
                <w:ilvl w:val="0"/>
                <w:numId w:val="5"/>
              </w:numPr>
              <w:overflowPunct w:val="0"/>
              <w:ind w:left="722" w:hanging="482"/>
              <w:rPr>
                <w:rFonts w:ascii="標楷體" w:eastAsia="標楷體" w:hAnsi="標楷體"/>
                <w:szCs w:val="24"/>
              </w:rPr>
            </w:pPr>
            <w:r>
              <w:rPr>
                <w:rFonts w:ascii="標楷體" w:eastAsia="標楷體" w:hAnsi="標楷體"/>
                <w:szCs w:val="24"/>
              </w:rPr>
              <w:t>動力、傳動、行駛裝置曾經解體修護者。</w:t>
            </w:r>
          </w:p>
          <w:p w:rsidR="00261FD4" w:rsidRDefault="0081515D">
            <w:pPr>
              <w:numPr>
                <w:ilvl w:val="0"/>
                <w:numId w:val="5"/>
              </w:numPr>
              <w:overflowPunct w:val="0"/>
              <w:ind w:left="722" w:hanging="482"/>
              <w:rPr>
                <w:rFonts w:ascii="標楷體" w:eastAsia="標楷體" w:hAnsi="標楷體"/>
                <w:szCs w:val="24"/>
              </w:rPr>
            </w:pPr>
            <w:r>
              <w:rPr>
                <w:rFonts w:ascii="標楷體" w:eastAsia="標楷體" w:hAnsi="標楷體"/>
                <w:szCs w:val="24"/>
              </w:rPr>
              <w:t>新製或改造完成之車輛者。</w:t>
            </w:r>
          </w:p>
          <w:p w:rsidR="00261FD4" w:rsidRDefault="0081515D">
            <w:pPr>
              <w:numPr>
                <w:ilvl w:val="0"/>
                <w:numId w:val="5"/>
              </w:numPr>
              <w:overflowPunct w:val="0"/>
              <w:ind w:left="722" w:hanging="482"/>
              <w:rPr>
                <w:rFonts w:ascii="標楷體" w:eastAsia="標楷體" w:hAnsi="標楷體"/>
                <w:spacing w:val="-8"/>
                <w:szCs w:val="24"/>
              </w:rPr>
            </w:pPr>
            <w:r>
              <w:rPr>
                <w:rFonts w:ascii="標楷體" w:eastAsia="標楷體" w:hAnsi="標楷體"/>
                <w:spacing w:val="-8"/>
                <w:szCs w:val="24"/>
              </w:rPr>
              <w:t>停用一年以上，復行使用者。</w:t>
            </w:r>
          </w:p>
          <w:p w:rsidR="00261FD4" w:rsidRDefault="0081515D">
            <w:pPr>
              <w:numPr>
                <w:ilvl w:val="0"/>
                <w:numId w:val="5"/>
              </w:numPr>
              <w:overflowPunct w:val="0"/>
              <w:ind w:left="722" w:hanging="482"/>
              <w:rPr>
                <w:rFonts w:ascii="標楷體" w:eastAsia="標楷體" w:hAnsi="標楷體"/>
                <w:szCs w:val="24"/>
              </w:rPr>
            </w:pPr>
            <w:r>
              <w:rPr>
                <w:rFonts w:ascii="標楷體" w:eastAsia="標楷體" w:hAnsi="標楷體"/>
                <w:szCs w:val="24"/>
              </w:rPr>
              <w:t>其他認為有試車之必要者。</w:t>
            </w:r>
          </w:p>
          <w:p w:rsidR="00261FD4" w:rsidRDefault="0081515D">
            <w:pPr>
              <w:overflowPunct w:val="0"/>
              <w:ind w:left="240" w:firstLine="456"/>
              <w:jc w:val="both"/>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依前項第一款至第五款規定試車者，以試車良好為檢修完畢日期；試車應依試車報告表規定事項執行，並於試車完畢後填具試車報告。</w:t>
            </w:r>
          </w:p>
          <w:p w:rsidR="00261FD4" w:rsidRDefault="0081515D">
            <w:pPr>
              <w:overflowPunct w:val="0"/>
              <w:ind w:left="240" w:firstLine="456"/>
              <w:jc w:val="both"/>
              <w:rPr>
                <w:rFonts w:ascii="標楷體" w:eastAsia="標楷體" w:hAnsi="標楷體"/>
                <w:szCs w:val="24"/>
              </w:rPr>
            </w:pPr>
            <w:r>
              <w:rPr>
                <w:rFonts w:ascii="標楷體" w:eastAsia="標楷體" w:hAnsi="標楷體"/>
                <w:szCs w:val="24"/>
              </w:rPr>
              <w:t>前項試車報告表格式，由營運機構訂之。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規範電聯車應施行試車之時機及相關作業規定。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lastRenderedPageBreak/>
              <w:t>第十三條</w:t>
            </w:r>
            <w:r>
              <w:rPr>
                <w:rFonts w:ascii="標楷體" w:eastAsia="標楷體" w:hAnsi="標楷體"/>
                <w:szCs w:val="24"/>
              </w:rPr>
              <w:t xml:space="preserve">  </w:t>
            </w:r>
            <w:r>
              <w:rPr>
                <w:rFonts w:ascii="標楷體" w:eastAsia="標楷體" w:hAnsi="標楷體"/>
                <w:szCs w:val="24"/>
              </w:rPr>
              <w:t>電聯車因故停止使用超過一個月以上者，營運機構得不施行定期檢修。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規範電聯車因故停駛超過一個月以上，得不施行定期檢修。</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jc w:val="both"/>
              <w:rPr>
                <w:rFonts w:ascii="標楷體" w:eastAsia="標楷體" w:hAnsi="標楷體"/>
                <w:szCs w:val="24"/>
              </w:rPr>
            </w:pPr>
            <w:r>
              <w:rPr>
                <w:rFonts w:ascii="標楷體" w:eastAsia="標楷體" w:hAnsi="標楷體"/>
                <w:szCs w:val="24"/>
              </w:rPr>
              <w:t>第十四條</w:t>
            </w:r>
            <w:r>
              <w:rPr>
                <w:rFonts w:ascii="標楷體" w:eastAsia="標楷體" w:hAnsi="標楷體"/>
                <w:szCs w:val="24"/>
              </w:rPr>
              <w:t xml:space="preserve">  </w:t>
            </w:r>
            <w:r>
              <w:rPr>
                <w:rFonts w:ascii="標楷體" w:eastAsia="標楷體" w:hAnsi="標楷體"/>
                <w:szCs w:val="24"/>
              </w:rPr>
              <w:t>電聯車停用期間營運機構應施行適當之處理，於復行使用時應施予必要之檢修。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34" w:hanging="34"/>
              <w:jc w:val="both"/>
            </w:pPr>
            <w:r>
              <w:rPr>
                <w:rFonts w:ascii="標楷體" w:eastAsia="標楷體" w:hAnsi="標楷體" w:cs="標楷體"/>
                <w:bCs/>
                <w:szCs w:val="24"/>
              </w:rPr>
              <w:t>規範電聯車停駛期間應執行適當維護，並於復行時施予必要之檢修。</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8" w:hanging="238"/>
              <w:rPr>
                <w:rFonts w:ascii="標楷體" w:eastAsia="標楷體" w:hAnsi="標楷體"/>
                <w:szCs w:val="24"/>
              </w:rPr>
            </w:pPr>
            <w:r>
              <w:rPr>
                <w:rFonts w:ascii="標楷體" w:eastAsia="標楷體" w:hAnsi="標楷體"/>
                <w:szCs w:val="24"/>
              </w:rPr>
              <w:t>第三章</w:t>
            </w:r>
            <w:r>
              <w:rPr>
                <w:rFonts w:ascii="標楷體" w:eastAsia="標楷體" w:hAnsi="標楷體"/>
                <w:szCs w:val="24"/>
              </w:rPr>
              <w:t xml:space="preserve">  </w:t>
            </w:r>
            <w:r>
              <w:rPr>
                <w:rFonts w:ascii="標楷體" w:eastAsia="標楷體" w:hAnsi="標楷體"/>
                <w:szCs w:val="24"/>
              </w:rPr>
              <w:t>機具檢修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proofErr w:type="gramStart"/>
            <w:r>
              <w:rPr>
                <w:rFonts w:ascii="標楷體" w:eastAsia="標楷體" w:hAnsi="標楷體"/>
                <w:szCs w:val="24"/>
              </w:rPr>
              <w:t>章名</w:t>
            </w:r>
            <w:proofErr w:type="gramEnd"/>
            <w:r>
              <w:rPr>
                <w:rFonts w:ascii="標楷體" w:eastAsia="標楷體" w:hAnsi="標楷體"/>
                <w:szCs w:val="24"/>
              </w:rPr>
              <w:t>。</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rPr>
                <w:rFonts w:ascii="標楷體" w:eastAsia="標楷體" w:hAnsi="標楷體"/>
                <w:szCs w:val="24"/>
              </w:rPr>
            </w:pPr>
            <w:r>
              <w:rPr>
                <w:rFonts w:ascii="標楷體" w:eastAsia="標楷體" w:hAnsi="標楷體"/>
                <w:szCs w:val="24"/>
              </w:rPr>
              <w:t>第十五條</w:t>
            </w:r>
            <w:r>
              <w:rPr>
                <w:rFonts w:ascii="標楷體" w:eastAsia="標楷體" w:hAnsi="標楷體"/>
                <w:szCs w:val="24"/>
              </w:rPr>
              <w:t xml:space="preserve">  </w:t>
            </w:r>
            <w:r>
              <w:rPr>
                <w:rFonts w:ascii="標楷體" w:eastAsia="標楷體" w:hAnsi="標楷體"/>
                <w:szCs w:val="24"/>
              </w:rPr>
              <w:t>機具檢修應定期施行，其檢修等級、項目及檢修週期，應由營運機構依機具種類訂之。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規範營運機構應訂定機具檢修等級、項目及周期等相關作業規定。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rPr>
                <w:rFonts w:ascii="標楷體" w:eastAsia="標楷體" w:hAnsi="標楷體"/>
                <w:szCs w:val="24"/>
              </w:rPr>
            </w:pPr>
            <w:r>
              <w:rPr>
                <w:rFonts w:ascii="標楷體" w:eastAsia="標楷體" w:hAnsi="標楷體"/>
                <w:szCs w:val="24"/>
              </w:rPr>
              <w:t>第十六條</w:t>
            </w:r>
            <w:r>
              <w:rPr>
                <w:rFonts w:ascii="標楷體" w:eastAsia="標楷體" w:hAnsi="標楷體"/>
                <w:szCs w:val="24"/>
              </w:rPr>
              <w:t xml:space="preserve">  </w:t>
            </w:r>
            <w:r>
              <w:rPr>
                <w:rFonts w:ascii="標楷體" w:eastAsia="標楷體" w:hAnsi="標楷體"/>
                <w:szCs w:val="24"/>
              </w:rPr>
              <w:t>檢修完畢之機具，營運機構應將檢修級別、項目、日期及施行單位等資料建檔管理。</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規範營運機構應將檢修資料建檔管理。</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9"/>
              <w:rPr>
                <w:rFonts w:ascii="標楷體" w:eastAsia="標楷體" w:hAnsi="標楷體"/>
                <w:szCs w:val="24"/>
              </w:rPr>
            </w:pPr>
            <w:r>
              <w:rPr>
                <w:rFonts w:ascii="標楷體" w:eastAsia="標楷體" w:hAnsi="標楷體"/>
                <w:szCs w:val="24"/>
              </w:rPr>
              <w:t>第四章</w:t>
            </w:r>
            <w:r>
              <w:rPr>
                <w:rFonts w:ascii="標楷體" w:eastAsia="標楷體" w:hAnsi="標楷體"/>
                <w:szCs w:val="24"/>
              </w:rPr>
              <w:t xml:space="preserve">  </w:t>
            </w:r>
            <w:r>
              <w:rPr>
                <w:rFonts w:ascii="標楷體" w:eastAsia="標楷體" w:hAnsi="標楷體"/>
                <w:szCs w:val="24"/>
              </w:rPr>
              <w:t>附則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proofErr w:type="gramStart"/>
            <w:r>
              <w:rPr>
                <w:rFonts w:ascii="標楷體" w:eastAsia="標楷體" w:hAnsi="標楷體"/>
                <w:szCs w:val="24"/>
              </w:rPr>
              <w:t>章名</w:t>
            </w:r>
            <w:proofErr w:type="gramEnd"/>
            <w:r>
              <w:rPr>
                <w:rFonts w:ascii="標楷體" w:eastAsia="標楷體" w:hAnsi="標楷體"/>
                <w:szCs w:val="24"/>
              </w:rPr>
              <w:t>。</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overflowPunct w:val="0"/>
              <w:ind w:left="240" w:hanging="240"/>
              <w:rPr>
                <w:rFonts w:ascii="標楷體" w:eastAsia="標楷體" w:hAnsi="標楷體"/>
                <w:szCs w:val="24"/>
              </w:rPr>
            </w:pPr>
            <w:r>
              <w:rPr>
                <w:rFonts w:ascii="標楷體" w:eastAsia="標楷體" w:hAnsi="標楷體"/>
                <w:szCs w:val="24"/>
              </w:rPr>
              <w:t>第十七條</w:t>
            </w:r>
            <w:r>
              <w:rPr>
                <w:rFonts w:ascii="標楷體" w:eastAsia="標楷體" w:hAnsi="標楷體"/>
                <w:szCs w:val="24"/>
              </w:rPr>
              <w:t xml:space="preserve">  </w:t>
            </w:r>
            <w:r>
              <w:rPr>
                <w:rFonts w:ascii="標楷體" w:eastAsia="標楷體" w:hAnsi="標楷體"/>
                <w:szCs w:val="24"/>
              </w:rPr>
              <w:t>本規則車輛、機具檢修實施作業規定，由營運機構訂之。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61FD4" w:rsidRDefault="0081515D">
            <w:pPr>
              <w:jc w:val="both"/>
              <w:rPr>
                <w:rFonts w:ascii="標楷體" w:eastAsia="標楷體" w:hAnsi="標楷體"/>
                <w:szCs w:val="24"/>
              </w:rPr>
            </w:pPr>
            <w:r>
              <w:rPr>
                <w:rFonts w:ascii="標楷體" w:eastAsia="標楷體" w:hAnsi="標楷體"/>
                <w:szCs w:val="24"/>
              </w:rPr>
              <w:t>規範營運機構應訂定車輛、機具檢修實施作業規定。</w:t>
            </w:r>
          </w:p>
        </w:tc>
      </w:tr>
      <w:tr w:rsidR="00261FD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pStyle w:val="a8"/>
              <w:rPr>
                <w:spacing w:val="0"/>
                <w:sz w:val="24"/>
                <w:szCs w:val="24"/>
              </w:rPr>
            </w:pPr>
            <w:r>
              <w:rPr>
                <w:spacing w:val="0"/>
                <w:sz w:val="24"/>
                <w:szCs w:val="24"/>
              </w:rPr>
              <w:t>第十八條</w:t>
            </w:r>
            <w:r>
              <w:rPr>
                <w:spacing w:val="0"/>
                <w:sz w:val="24"/>
                <w:szCs w:val="24"/>
              </w:rPr>
              <w:t xml:space="preserve"> </w:t>
            </w:r>
            <w:r>
              <w:rPr>
                <w:spacing w:val="0"/>
                <w:sz w:val="24"/>
                <w:szCs w:val="24"/>
              </w:rPr>
              <w:t>本規則自發布日施行。</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61FD4" w:rsidRDefault="0081515D">
            <w:pPr>
              <w:jc w:val="both"/>
              <w:rPr>
                <w:rFonts w:ascii="標楷體" w:eastAsia="標楷體" w:hAnsi="標楷體"/>
                <w:szCs w:val="24"/>
              </w:rPr>
            </w:pPr>
            <w:r>
              <w:rPr>
                <w:rFonts w:ascii="標楷體" w:eastAsia="標楷體" w:hAnsi="標楷體"/>
                <w:szCs w:val="24"/>
              </w:rPr>
              <w:t>本規則之施行日期。</w:t>
            </w:r>
          </w:p>
        </w:tc>
      </w:tr>
    </w:tbl>
    <w:p w:rsidR="00261FD4" w:rsidRDefault="00261FD4"/>
    <w:p w:rsidR="00261FD4" w:rsidRDefault="00261FD4">
      <w:pPr>
        <w:pageBreakBefore/>
        <w:widowControl/>
      </w:pPr>
    </w:p>
    <w:p w:rsidR="00261FD4" w:rsidRDefault="0081515D">
      <w:pPr>
        <w:spacing w:after="180" w:line="0" w:lineRule="atLeast"/>
        <w:rPr>
          <w:rFonts w:ascii="標楷體" w:eastAsia="標楷體" w:hAnsi="標楷體"/>
          <w:sz w:val="40"/>
          <w:szCs w:val="40"/>
        </w:rPr>
      </w:pPr>
      <w:proofErr w:type="gramStart"/>
      <w:r>
        <w:rPr>
          <w:rFonts w:ascii="標楷體" w:eastAsia="標楷體" w:hAnsi="標楷體"/>
          <w:sz w:val="40"/>
          <w:szCs w:val="40"/>
        </w:rPr>
        <w:t>臺</w:t>
      </w:r>
      <w:proofErr w:type="gramEnd"/>
      <w:r>
        <w:rPr>
          <w:rFonts w:ascii="標楷體" w:eastAsia="標楷體" w:hAnsi="標楷體"/>
          <w:sz w:val="40"/>
          <w:szCs w:val="40"/>
        </w:rPr>
        <w:t>中市大眾捷運系統車輛機具檢修規則草案</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 xml:space="preserve">第一章　</w:t>
      </w:r>
      <w:r>
        <w:rPr>
          <w:rFonts w:ascii="標楷體" w:eastAsia="標楷體" w:hAnsi="標楷體" w:cs="標楷體"/>
          <w:bCs/>
          <w:sz w:val="28"/>
          <w:szCs w:val="32"/>
        </w:rPr>
        <w:t xml:space="preserve"> </w:t>
      </w:r>
      <w:r>
        <w:rPr>
          <w:rFonts w:ascii="標楷體" w:eastAsia="標楷體" w:hAnsi="標楷體" w:cs="標楷體"/>
          <w:bCs/>
          <w:sz w:val="28"/>
          <w:szCs w:val="32"/>
        </w:rPr>
        <w:t>總則</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第一條</w:t>
      </w:r>
      <w:r>
        <w:rPr>
          <w:rFonts w:ascii="標楷體" w:eastAsia="標楷體" w:hAnsi="標楷體" w:cs="標楷體"/>
          <w:bCs/>
          <w:sz w:val="28"/>
          <w:szCs w:val="32"/>
        </w:rPr>
        <w:t xml:space="preserve">   </w:t>
      </w:r>
      <w:r>
        <w:rPr>
          <w:rFonts w:ascii="標楷體" w:eastAsia="標楷體" w:hAnsi="標楷體" w:cs="標楷體"/>
          <w:bCs/>
          <w:sz w:val="28"/>
          <w:szCs w:val="32"/>
        </w:rPr>
        <w:t>本規則依大眾捷運法第五十三條規定訂定之。</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第二條</w:t>
      </w:r>
      <w:r>
        <w:rPr>
          <w:rFonts w:ascii="標楷體" w:eastAsia="標楷體" w:hAnsi="標楷體" w:cs="標楷體"/>
          <w:bCs/>
          <w:sz w:val="28"/>
          <w:szCs w:val="32"/>
        </w:rPr>
        <w:t xml:space="preserve">   </w:t>
      </w:r>
      <w:r>
        <w:rPr>
          <w:rFonts w:ascii="標楷體" w:eastAsia="標楷體" w:hAnsi="標楷體" w:cs="標楷體"/>
          <w:bCs/>
          <w:sz w:val="28"/>
          <w:szCs w:val="32"/>
        </w:rPr>
        <w:t>本規則以</w:t>
      </w:r>
      <w:proofErr w:type="gramStart"/>
      <w:r>
        <w:rPr>
          <w:rFonts w:ascii="標楷體" w:eastAsia="標楷體" w:hAnsi="標楷體" w:cs="標楷體"/>
          <w:bCs/>
          <w:sz w:val="28"/>
          <w:szCs w:val="32"/>
        </w:rPr>
        <w:t>臺</w:t>
      </w:r>
      <w:proofErr w:type="gramEnd"/>
      <w:r>
        <w:rPr>
          <w:rFonts w:ascii="標楷體" w:eastAsia="標楷體" w:hAnsi="標楷體" w:cs="標楷體"/>
          <w:bCs/>
          <w:sz w:val="28"/>
          <w:szCs w:val="32"/>
        </w:rPr>
        <w:t>中市政府（以下簡稱本府）主管之大眾捷運系統營運機構</w:t>
      </w:r>
      <w:r>
        <w:rPr>
          <w:rFonts w:ascii="標楷體" w:eastAsia="標楷體" w:hAnsi="標楷體" w:cs="標楷體"/>
          <w:bCs/>
          <w:sz w:val="28"/>
          <w:szCs w:val="32"/>
        </w:rPr>
        <w:t>(</w:t>
      </w:r>
      <w:r>
        <w:rPr>
          <w:rFonts w:ascii="標楷體" w:eastAsia="標楷體" w:hAnsi="標楷體" w:cs="標楷體"/>
          <w:bCs/>
          <w:sz w:val="28"/>
          <w:szCs w:val="32"/>
        </w:rPr>
        <w:t>以下簡稱營運機構</w:t>
      </w:r>
      <w:r>
        <w:rPr>
          <w:rFonts w:ascii="標楷體" w:eastAsia="標楷體" w:hAnsi="標楷體" w:cs="標楷體"/>
          <w:bCs/>
          <w:sz w:val="28"/>
          <w:szCs w:val="32"/>
        </w:rPr>
        <w:t>)</w:t>
      </w:r>
      <w:r>
        <w:rPr>
          <w:rFonts w:ascii="標楷體" w:eastAsia="標楷體" w:hAnsi="標楷體" w:cs="標楷體"/>
          <w:bCs/>
          <w:sz w:val="28"/>
          <w:szCs w:val="32"/>
        </w:rPr>
        <w:t>為適用範圍。</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第三條</w:t>
      </w:r>
      <w:r>
        <w:rPr>
          <w:rFonts w:ascii="標楷體" w:eastAsia="標楷體" w:hAnsi="標楷體" w:cs="標楷體"/>
          <w:bCs/>
          <w:sz w:val="28"/>
          <w:szCs w:val="32"/>
        </w:rPr>
        <w:t xml:space="preserve">   </w:t>
      </w:r>
      <w:r>
        <w:rPr>
          <w:rFonts w:ascii="標楷體" w:eastAsia="標楷體" w:hAnsi="標楷體" w:cs="標楷體"/>
          <w:bCs/>
          <w:sz w:val="28"/>
          <w:szCs w:val="32"/>
        </w:rPr>
        <w:t>本規則所稱車輛，係指各種形式之電聯車。所稱機具，係指機車、工作台車及搶修之相關器具等。</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ab/>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 xml:space="preserve">第二章　</w:t>
      </w:r>
      <w:r>
        <w:rPr>
          <w:rFonts w:ascii="標楷體" w:eastAsia="標楷體" w:hAnsi="標楷體" w:cs="標楷體"/>
          <w:bCs/>
          <w:sz w:val="28"/>
          <w:szCs w:val="32"/>
        </w:rPr>
        <w:t xml:space="preserve"> </w:t>
      </w:r>
      <w:r>
        <w:rPr>
          <w:rFonts w:ascii="標楷體" w:eastAsia="標楷體" w:hAnsi="標楷體" w:cs="標楷體"/>
          <w:bCs/>
          <w:sz w:val="28"/>
          <w:szCs w:val="32"/>
        </w:rPr>
        <w:t>電聯車檢修</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第四條</w:t>
      </w:r>
      <w:r>
        <w:rPr>
          <w:rFonts w:ascii="標楷體" w:eastAsia="標楷體" w:hAnsi="標楷體" w:cs="標楷體"/>
          <w:bCs/>
          <w:sz w:val="28"/>
          <w:szCs w:val="32"/>
        </w:rPr>
        <w:t xml:space="preserve">   </w:t>
      </w:r>
      <w:r>
        <w:rPr>
          <w:rFonts w:ascii="標楷體" w:eastAsia="標楷體" w:hAnsi="標楷體" w:cs="標楷體"/>
          <w:bCs/>
          <w:sz w:val="28"/>
          <w:szCs w:val="32"/>
        </w:rPr>
        <w:t>電聯車檢修分為定期檢修及臨時檢修兩種。</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第五條</w:t>
      </w:r>
      <w:r>
        <w:rPr>
          <w:rFonts w:ascii="標楷體" w:eastAsia="標楷體" w:hAnsi="標楷體" w:cs="標楷體"/>
          <w:bCs/>
          <w:sz w:val="28"/>
          <w:szCs w:val="32"/>
        </w:rPr>
        <w:t xml:space="preserve">   </w:t>
      </w:r>
      <w:r>
        <w:rPr>
          <w:rFonts w:ascii="標楷體" w:eastAsia="標楷體" w:hAnsi="標楷體" w:cs="標楷體"/>
          <w:bCs/>
          <w:sz w:val="28"/>
          <w:szCs w:val="32"/>
        </w:rPr>
        <w:t>定期檢修分為五級，其各級檢修工作重點如下：</w:t>
      </w:r>
    </w:p>
    <w:p w:rsidR="00261FD4" w:rsidRDefault="0081515D">
      <w:pPr>
        <w:numPr>
          <w:ilvl w:val="0"/>
          <w:numId w:val="6"/>
        </w:numPr>
        <w:spacing w:line="460" w:lineRule="exact"/>
        <w:ind w:left="1815" w:hanging="567"/>
        <w:jc w:val="both"/>
        <w:rPr>
          <w:rFonts w:ascii="標楷體" w:eastAsia="標楷體" w:hAnsi="標楷體" w:cs="標楷體"/>
          <w:bCs/>
          <w:sz w:val="28"/>
          <w:szCs w:val="32"/>
        </w:rPr>
      </w:pPr>
      <w:r>
        <w:rPr>
          <w:rFonts w:ascii="標楷體" w:eastAsia="標楷體" w:hAnsi="標楷體" w:cs="標楷體"/>
          <w:bCs/>
          <w:sz w:val="28"/>
          <w:szCs w:val="32"/>
        </w:rPr>
        <w:t>一級檢修：以視覺、聽覺、觸覺，就有關行車主要機件、</w:t>
      </w:r>
      <w:r>
        <w:rPr>
          <w:rFonts w:ascii="標楷體" w:eastAsia="標楷體" w:hAnsi="標楷體" w:cs="標楷體"/>
          <w:bCs/>
          <w:sz w:val="28"/>
          <w:szCs w:val="32"/>
        </w:rPr>
        <w:t xml:space="preserve"> </w:t>
      </w:r>
      <w:r>
        <w:rPr>
          <w:rFonts w:ascii="標楷體" w:eastAsia="標楷體" w:hAnsi="標楷體" w:cs="標楷體"/>
          <w:bCs/>
          <w:sz w:val="28"/>
          <w:szCs w:val="32"/>
        </w:rPr>
        <w:t>車廂及其設備等之狀態及作用施行之檢修。</w:t>
      </w:r>
    </w:p>
    <w:p w:rsidR="00261FD4" w:rsidRDefault="0081515D">
      <w:pPr>
        <w:numPr>
          <w:ilvl w:val="0"/>
          <w:numId w:val="6"/>
        </w:numPr>
        <w:spacing w:line="460" w:lineRule="exact"/>
        <w:ind w:left="1815" w:hanging="567"/>
        <w:jc w:val="both"/>
        <w:rPr>
          <w:rFonts w:ascii="標楷體" w:eastAsia="標楷體" w:hAnsi="標楷體" w:cs="標楷體"/>
          <w:bCs/>
          <w:sz w:val="28"/>
          <w:szCs w:val="32"/>
        </w:rPr>
      </w:pPr>
      <w:r>
        <w:rPr>
          <w:rFonts w:ascii="標楷體" w:eastAsia="標楷體" w:hAnsi="標楷體" w:cs="標楷體"/>
          <w:bCs/>
          <w:sz w:val="28"/>
          <w:szCs w:val="32"/>
        </w:rPr>
        <w:t>二級檢修：以清洗、</w:t>
      </w:r>
      <w:proofErr w:type="gramStart"/>
      <w:r>
        <w:rPr>
          <w:rFonts w:ascii="標楷體" w:eastAsia="標楷體" w:hAnsi="標楷體" w:cs="標楷體"/>
          <w:bCs/>
          <w:sz w:val="28"/>
          <w:szCs w:val="32"/>
        </w:rPr>
        <w:t>注油</w:t>
      </w:r>
      <w:proofErr w:type="gramEnd"/>
      <w:r>
        <w:rPr>
          <w:rFonts w:ascii="標楷體" w:eastAsia="標楷體" w:hAnsi="標楷體" w:cs="標楷體"/>
          <w:bCs/>
          <w:sz w:val="28"/>
          <w:szCs w:val="32"/>
        </w:rPr>
        <w:t>、測量等方式保持動力、傳動、行駛、煞車等機件裝置外表清潔、動作圓滑、使用狀態正常之檢修。</w:t>
      </w:r>
    </w:p>
    <w:p w:rsidR="00261FD4" w:rsidRDefault="0081515D">
      <w:pPr>
        <w:numPr>
          <w:ilvl w:val="0"/>
          <w:numId w:val="6"/>
        </w:numPr>
        <w:spacing w:line="460" w:lineRule="exact"/>
        <w:ind w:left="1815" w:hanging="567"/>
        <w:jc w:val="both"/>
        <w:rPr>
          <w:rFonts w:ascii="標楷體" w:eastAsia="標楷體" w:hAnsi="標楷體" w:cs="標楷體"/>
          <w:bCs/>
          <w:sz w:val="28"/>
          <w:szCs w:val="32"/>
        </w:rPr>
      </w:pPr>
      <w:r>
        <w:rPr>
          <w:rFonts w:ascii="標楷體" w:eastAsia="標楷體" w:hAnsi="標楷體" w:cs="標楷體"/>
          <w:bCs/>
          <w:sz w:val="28"/>
          <w:szCs w:val="32"/>
        </w:rPr>
        <w:t>三級檢修：以局部拆卸分解施行檢驗、調整、校正、測試等方式保持動力、傳動、行駛、煞車、儀</w:t>
      </w:r>
      <w:proofErr w:type="gramStart"/>
      <w:r>
        <w:rPr>
          <w:rFonts w:ascii="標楷體" w:eastAsia="標楷體" w:hAnsi="標楷體" w:cs="標楷體"/>
          <w:bCs/>
          <w:sz w:val="28"/>
          <w:szCs w:val="32"/>
        </w:rPr>
        <w:t>錶</w:t>
      </w:r>
      <w:proofErr w:type="gramEnd"/>
      <w:r>
        <w:rPr>
          <w:rFonts w:ascii="標楷體" w:eastAsia="標楷體" w:hAnsi="標楷體" w:cs="標楷體"/>
          <w:bCs/>
          <w:sz w:val="28"/>
          <w:szCs w:val="32"/>
        </w:rPr>
        <w:t>等機件裝置性能正常之檢修。</w:t>
      </w:r>
    </w:p>
    <w:p w:rsidR="00261FD4" w:rsidRDefault="0081515D">
      <w:pPr>
        <w:numPr>
          <w:ilvl w:val="0"/>
          <w:numId w:val="6"/>
        </w:numPr>
        <w:spacing w:line="460" w:lineRule="exact"/>
        <w:ind w:left="1815" w:hanging="567"/>
        <w:jc w:val="both"/>
        <w:rPr>
          <w:rFonts w:ascii="標楷體" w:eastAsia="標楷體" w:hAnsi="標楷體" w:cs="標楷體"/>
          <w:bCs/>
          <w:sz w:val="28"/>
          <w:szCs w:val="32"/>
        </w:rPr>
      </w:pPr>
      <w:r>
        <w:rPr>
          <w:rFonts w:ascii="標楷體" w:eastAsia="標楷體" w:hAnsi="標楷體" w:cs="標楷體"/>
          <w:bCs/>
          <w:sz w:val="28"/>
          <w:szCs w:val="32"/>
        </w:rPr>
        <w:t>四級檢修：對動力、傳動、行駛、煞車、儀</w:t>
      </w:r>
      <w:proofErr w:type="gramStart"/>
      <w:r>
        <w:rPr>
          <w:rFonts w:ascii="標楷體" w:eastAsia="標楷體" w:hAnsi="標楷體" w:cs="標楷體"/>
          <w:bCs/>
          <w:sz w:val="28"/>
          <w:szCs w:val="32"/>
        </w:rPr>
        <w:t>錶</w:t>
      </w:r>
      <w:proofErr w:type="gramEnd"/>
      <w:r>
        <w:rPr>
          <w:rFonts w:ascii="標楷體" w:eastAsia="標楷體" w:hAnsi="標楷體" w:cs="標楷體"/>
          <w:bCs/>
          <w:sz w:val="28"/>
          <w:szCs w:val="32"/>
        </w:rPr>
        <w:t>、車廂、聯結器、控制、電氣輔助等主要機件之特定部分施行拆卸分解之檢修。</w:t>
      </w:r>
    </w:p>
    <w:p w:rsidR="00261FD4" w:rsidRDefault="0081515D">
      <w:pPr>
        <w:numPr>
          <w:ilvl w:val="0"/>
          <w:numId w:val="6"/>
        </w:numPr>
        <w:spacing w:line="460" w:lineRule="exact"/>
        <w:ind w:left="1815" w:hanging="567"/>
        <w:jc w:val="both"/>
        <w:rPr>
          <w:rFonts w:ascii="標楷體" w:eastAsia="標楷體" w:hAnsi="標楷體" w:cs="標楷體"/>
          <w:bCs/>
          <w:sz w:val="28"/>
          <w:szCs w:val="32"/>
        </w:rPr>
      </w:pPr>
      <w:r>
        <w:rPr>
          <w:rFonts w:ascii="標楷體" w:eastAsia="標楷體" w:hAnsi="標楷體" w:cs="標楷體"/>
          <w:bCs/>
          <w:sz w:val="28"/>
          <w:szCs w:val="32"/>
        </w:rPr>
        <w:t>五級檢修：對一般機件施行徹底檢查，各重要機件施行重整之檢修。</w:t>
      </w:r>
    </w:p>
    <w:p w:rsidR="00261FD4" w:rsidRDefault="0081515D">
      <w:pPr>
        <w:spacing w:line="460" w:lineRule="exact"/>
        <w:ind w:left="480" w:firstLine="532"/>
        <w:jc w:val="both"/>
        <w:rPr>
          <w:rFonts w:ascii="標楷體" w:eastAsia="標楷體" w:hAnsi="標楷體" w:cs="標楷體"/>
          <w:bCs/>
          <w:sz w:val="28"/>
          <w:szCs w:val="32"/>
        </w:rPr>
      </w:pPr>
      <w:r>
        <w:rPr>
          <w:rFonts w:ascii="標楷體" w:eastAsia="標楷體" w:hAnsi="標楷體" w:cs="標楷體"/>
          <w:bCs/>
          <w:sz w:val="28"/>
          <w:szCs w:val="32"/>
        </w:rPr>
        <w:t xml:space="preserve">   </w:t>
      </w:r>
      <w:r>
        <w:rPr>
          <w:rFonts w:ascii="標楷體" w:eastAsia="標楷體" w:hAnsi="標楷體" w:cs="標楷體"/>
          <w:bCs/>
          <w:sz w:val="28"/>
          <w:szCs w:val="32"/>
        </w:rPr>
        <w:t>前項所列較高等級檢修應含次級檢修項目。</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第六條</w:t>
      </w:r>
      <w:r>
        <w:rPr>
          <w:rFonts w:ascii="標楷體" w:eastAsia="標楷體" w:hAnsi="標楷體" w:cs="標楷體"/>
          <w:bCs/>
          <w:sz w:val="28"/>
          <w:szCs w:val="32"/>
        </w:rPr>
        <w:t xml:space="preserve">    </w:t>
      </w:r>
      <w:r>
        <w:rPr>
          <w:rFonts w:ascii="標楷體" w:eastAsia="標楷體" w:hAnsi="標楷體" w:cs="標楷體"/>
          <w:bCs/>
          <w:sz w:val="28"/>
          <w:szCs w:val="32"/>
        </w:rPr>
        <w:t>電聯車定期</w:t>
      </w:r>
      <w:r>
        <w:rPr>
          <w:rFonts w:ascii="標楷體" w:eastAsia="標楷體" w:hAnsi="標楷體" w:cs="標楷體"/>
          <w:bCs/>
          <w:sz w:val="28"/>
          <w:szCs w:val="32"/>
        </w:rPr>
        <w:t>檢修，其各級檢修項目由營運機構依電聯車種類擬訂，報請本府核定。</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第七條</w:t>
      </w:r>
      <w:r>
        <w:rPr>
          <w:rFonts w:ascii="標楷體" w:eastAsia="標楷體" w:hAnsi="標楷體" w:cs="標楷體"/>
          <w:bCs/>
          <w:sz w:val="28"/>
          <w:szCs w:val="32"/>
        </w:rPr>
        <w:t xml:space="preserve">    </w:t>
      </w:r>
      <w:r>
        <w:rPr>
          <w:rFonts w:ascii="標楷體" w:eastAsia="標楷體" w:hAnsi="標楷體" w:cs="標楷體"/>
          <w:bCs/>
          <w:sz w:val="28"/>
          <w:szCs w:val="32"/>
        </w:rPr>
        <w:t>電聯車定期檢修，其各級檢修週期由營運機構依電聯車行駛</w:t>
      </w:r>
      <w:r>
        <w:rPr>
          <w:rFonts w:ascii="標楷體" w:eastAsia="標楷體" w:hAnsi="標楷體" w:cs="標楷體"/>
          <w:bCs/>
          <w:sz w:val="28"/>
          <w:szCs w:val="32"/>
        </w:rPr>
        <w:lastRenderedPageBreak/>
        <w:t>公里數或使用期間擬訂，報請本府核定。</w:t>
      </w:r>
      <w:r>
        <w:rPr>
          <w:rFonts w:ascii="標楷體" w:eastAsia="標楷體" w:hAnsi="標楷體" w:cs="標楷體"/>
          <w:bCs/>
          <w:sz w:val="28"/>
          <w:szCs w:val="32"/>
        </w:rPr>
        <w:tab/>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第八條</w:t>
      </w:r>
      <w:r>
        <w:rPr>
          <w:rFonts w:ascii="標楷體" w:eastAsia="標楷體" w:hAnsi="標楷體" w:cs="標楷體"/>
          <w:bCs/>
          <w:sz w:val="28"/>
          <w:szCs w:val="32"/>
        </w:rPr>
        <w:t xml:space="preserve">    </w:t>
      </w:r>
      <w:r>
        <w:rPr>
          <w:rFonts w:ascii="標楷體" w:eastAsia="標楷體" w:hAnsi="標楷體" w:cs="標楷體"/>
          <w:bCs/>
          <w:sz w:val="28"/>
          <w:szCs w:val="32"/>
        </w:rPr>
        <w:t>電聯車於每日營運前，應就下列項目之狀態及作用施行檢查：</w:t>
      </w:r>
    </w:p>
    <w:p w:rsidR="00261FD4" w:rsidRDefault="0081515D">
      <w:pPr>
        <w:pStyle w:val="a7"/>
        <w:numPr>
          <w:ilvl w:val="0"/>
          <w:numId w:val="7"/>
        </w:numPr>
        <w:spacing w:line="460" w:lineRule="exact"/>
        <w:ind w:left="2007" w:hanging="567"/>
        <w:rPr>
          <w:sz w:val="28"/>
          <w:szCs w:val="28"/>
        </w:rPr>
      </w:pPr>
      <w:r>
        <w:rPr>
          <w:sz w:val="28"/>
          <w:szCs w:val="28"/>
        </w:rPr>
        <w:t>聯結裝置。</w:t>
      </w:r>
    </w:p>
    <w:p w:rsidR="00261FD4" w:rsidRDefault="0081515D">
      <w:pPr>
        <w:pStyle w:val="a7"/>
        <w:numPr>
          <w:ilvl w:val="0"/>
          <w:numId w:val="7"/>
        </w:numPr>
        <w:spacing w:line="460" w:lineRule="exact"/>
        <w:ind w:left="2007" w:hanging="567"/>
        <w:rPr>
          <w:sz w:val="28"/>
          <w:szCs w:val="28"/>
        </w:rPr>
      </w:pPr>
      <w:r>
        <w:rPr>
          <w:sz w:val="28"/>
          <w:szCs w:val="28"/>
        </w:rPr>
        <w:t>煞車裝置。</w:t>
      </w:r>
    </w:p>
    <w:p w:rsidR="00261FD4" w:rsidRDefault="0081515D">
      <w:pPr>
        <w:pStyle w:val="a7"/>
        <w:numPr>
          <w:ilvl w:val="0"/>
          <w:numId w:val="7"/>
        </w:numPr>
        <w:spacing w:line="460" w:lineRule="exact"/>
        <w:ind w:left="2007" w:hanging="567"/>
        <w:rPr>
          <w:sz w:val="28"/>
          <w:szCs w:val="28"/>
        </w:rPr>
      </w:pPr>
      <w:r>
        <w:rPr>
          <w:sz w:val="28"/>
          <w:szCs w:val="28"/>
        </w:rPr>
        <w:t>行駛裝置。</w:t>
      </w:r>
    </w:p>
    <w:p w:rsidR="00261FD4" w:rsidRDefault="0081515D">
      <w:pPr>
        <w:pStyle w:val="a7"/>
        <w:numPr>
          <w:ilvl w:val="0"/>
          <w:numId w:val="7"/>
        </w:numPr>
        <w:spacing w:line="460" w:lineRule="exact"/>
        <w:ind w:left="2007" w:hanging="567"/>
        <w:rPr>
          <w:sz w:val="28"/>
          <w:szCs w:val="28"/>
        </w:rPr>
      </w:pPr>
      <w:r>
        <w:rPr>
          <w:sz w:val="28"/>
          <w:szCs w:val="28"/>
        </w:rPr>
        <w:t>空調系統。</w:t>
      </w:r>
    </w:p>
    <w:p w:rsidR="00261FD4" w:rsidRDefault="0081515D">
      <w:pPr>
        <w:pStyle w:val="a7"/>
        <w:numPr>
          <w:ilvl w:val="0"/>
          <w:numId w:val="7"/>
        </w:numPr>
        <w:spacing w:line="460" w:lineRule="exact"/>
        <w:ind w:left="2007" w:hanging="567"/>
        <w:rPr>
          <w:sz w:val="28"/>
          <w:szCs w:val="28"/>
        </w:rPr>
      </w:pPr>
      <w:r>
        <w:rPr>
          <w:sz w:val="28"/>
          <w:szCs w:val="28"/>
        </w:rPr>
        <w:t>車門裝置。</w:t>
      </w:r>
    </w:p>
    <w:p w:rsidR="00261FD4" w:rsidRDefault="0081515D">
      <w:pPr>
        <w:pStyle w:val="a7"/>
        <w:numPr>
          <w:ilvl w:val="0"/>
          <w:numId w:val="7"/>
        </w:numPr>
        <w:spacing w:line="460" w:lineRule="exact"/>
        <w:ind w:left="2007" w:hanging="567"/>
        <w:rPr>
          <w:sz w:val="28"/>
          <w:szCs w:val="28"/>
        </w:rPr>
      </w:pPr>
      <w:r>
        <w:rPr>
          <w:sz w:val="28"/>
          <w:szCs w:val="28"/>
        </w:rPr>
        <w:t>電氣裝置。</w:t>
      </w:r>
    </w:p>
    <w:p w:rsidR="00261FD4" w:rsidRDefault="0081515D">
      <w:pPr>
        <w:pStyle w:val="a7"/>
        <w:numPr>
          <w:ilvl w:val="0"/>
          <w:numId w:val="7"/>
        </w:numPr>
        <w:spacing w:line="460" w:lineRule="exact"/>
        <w:ind w:left="2007" w:hanging="567"/>
        <w:rPr>
          <w:sz w:val="28"/>
          <w:szCs w:val="28"/>
        </w:rPr>
      </w:pPr>
      <w:r>
        <w:rPr>
          <w:sz w:val="28"/>
          <w:szCs w:val="28"/>
        </w:rPr>
        <w:t>警示信號裝置。</w:t>
      </w:r>
    </w:p>
    <w:p w:rsidR="00261FD4" w:rsidRDefault="0081515D">
      <w:pPr>
        <w:pStyle w:val="a7"/>
        <w:numPr>
          <w:ilvl w:val="0"/>
          <w:numId w:val="7"/>
        </w:numPr>
        <w:spacing w:line="460" w:lineRule="exact"/>
        <w:ind w:left="2007" w:hanging="567"/>
        <w:rPr>
          <w:sz w:val="28"/>
          <w:szCs w:val="28"/>
        </w:rPr>
      </w:pPr>
      <w:r>
        <w:rPr>
          <w:sz w:val="28"/>
          <w:szCs w:val="28"/>
        </w:rPr>
        <w:t>照明設備。</w:t>
      </w:r>
    </w:p>
    <w:p w:rsidR="00261FD4" w:rsidRDefault="0081515D">
      <w:pPr>
        <w:pStyle w:val="a7"/>
        <w:numPr>
          <w:ilvl w:val="0"/>
          <w:numId w:val="7"/>
        </w:numPr>
        <w:spacing w:line="460" w:lineRule="exact"/>
        <w:ind w:left="2007" w:hanging="567"/>
        <w:rPr>
          <w:sz w:val="28"/>
          <w:szCs w:val="28"/>
        </w:rPr>
      </w:pPr>
      <w:r>
        <w:rPr>
          <w:sz w:val="28"/>
          <w:szCs w:val="28"/>
        </w:rPr>
        <w:t>逃生裝置。</w:t>
      </w:r>
    </w:p>
    <w:p w:rsidR="00261FD4" w:rsidRDefault="0081515D">
      <w:pPr>
        <w:pStyle w:val="a7"/>
        <w:numPr>
          <w:ilvl w:val="0"/>
          <w:numId w:val="7"/>
        </w:numPr>
        <w:spacing w:line="460" w:lineRule="exact"/>
        <w:ind w:left="2007" w:hanging="567"/>
        <w:rPr>
          <w:sz w:val="28"/>
          <w:szCs w:val="28"/>
        </w:rPr>
      </w:pPr>
      <w:r>
        <w:rPr>
          <w:sz w:val="28"/>
          <w:szCs w:val="28"/>
        </w:rPr>
        <w:t>車內設備。</w:t>
      </w:r>
    </w:p>
    <w:p w:rsidR="00261FD4" w:rsidRDefault="0081515D">
      <w:pPr>
        <w:pStyle w:val="a7"/>
        <w:numPr>
          <w:ilvl w:val="0"/>
          <w:numId w:val="7"/>
        </w:numPr>
        <w:spacing w:line="460" w:lineRule="exact"/>
        <w:ind w:left="1440" w:firstLine="0"/>
        <w:rPr>
          <w:sz w:val="28"/>
          <w:szCs w:val="28"/>
        </w:rPr>
      </w:pPr>
      <w:r>
        <w:rPr>
          <w:sz w:val="28"/>
          <w:szCs w:val="28"/>
        </w:rPr>
        <w:t>擋風裝置。</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 xml:space="preserve">第九條　</w:t>
      </w:r>
      <w:r>
        <w:rPr>
          <w:rFonts w:ascii="標楷體" w:eastAsia="標楷體" w:hAnsi="標楷體" w:cs="標楷體"/>
          <w:bCs/>
          <w:sz w:val="28"/>
          <w:szCs w:val="32"/>
        </w:rPr>
        <w:t xml:space="preserve">  </w:t>
      </w:r>
      <w:r>
        <w:rPr>
          <w:rFonts w:ascii="標楷體" w:eastAsia="標楷體" w:hAnsi="標楷體" w:cs="標楷體"/>
          <w:bCs/>
          <w:sz w:val="28"/>
          <w:szCs w:val="32"/>
        </w:rPr>
        <w:t>電聯車有下列情事之</w:t>
      </w:r>
      <w:proofErr w:type="gramStart"/>
      <w:r>
        <w:rPr>
          <w:rFonts w:ascii="標楷體" w:eastAsia="標楷體" w:hAnsi="標楷體" w:cs="標楷體"/>
          <w:bCs/>
          <w:sz w:val="28"/>
          <w:szCs w:val="32"/>
        </w:rPr>
        <w:t>一</w:t>
      </w:r>
      <w:proofErr w:type="gramEnd"/>
      <w:r>
        <w:rPr>
          <w:rFonts w:ascii="標楷體" w:eastAsia="標楷體" w:hAnsi="標楷體" w:cs="標楷體"/>
          <w:bCs/>
          <w:sz w:val="28"/>
          <w:szCs w:val="32"/>
        </w:rPr>
        <w:t>者，應施行臨時檢修：</w:t>
      </w:r>
    </w:p>
    <w:p w:rsidR="00261FD4" w:rsidRDefault="0081515D">
      <w:pPr>
        <w:pStyle w:val="a7"/>
        <w:spacing w:line="460" w:lineRule="exact"/>
        <w:ind w:left="1392" w:firstLine="0"/>
        <w:rPr>
          <w:sz w:val="28"/>
          <w:szCs w:val="28"/>
        </w:rPr>
      </w:pPr>
      <w:r>
        <w:rPr>
          <w:sz w:val="28"/>
          <w:szCs w:val="28"/>
        </w:rPr>
        <w:t>一、發生事故者。</w:t>
      </w:r>
    </w:p>
    <w:p w:rsidR="00261FD4" w:rsidRDefault="0081515D">
      <w:pPr>
        <w:pStyle w:val="a7"/>
        <w:spacing w:line="460" w:lineRule="exact"/>
        <w:ind w:left="1392" w:firstLine="0"/>
        <w:rPr>
          <w:sz w:val="28"/>
          <w:szCs w:val="28"/>
        </w:rPr>
      </w:pPr>
      <w:r>
        <w:rPr>
          <w:sz w:val="28"/>
          <w:szCs w:val="28"/>
        </w:rPr>
        <w:t>二、發生故障或有故障之虞者。</w:t>
      </w:r>
    </w:p>
    <w:p w:rsidR="00261FD4" w:rsidRDefault="0081515D">
      <w:pPr>
        <w:pStyle w:val="a7"/>
        <w:spacing w:line="460" w:lineRule="exact"/>
        <w:ind w:left="1392" w:firstLine="0"/>
        <w:rPr>
          <w:sz w:val="28"/>
          <w:szCs w:val="28"/>
        </w:rPr>
      </w:pPr>
      <w:r>
        <w:rPr>
          <w:sz w:val="28"/>
          <w:szCs w:val="28"/>
        </w:rPr>
        <w:t>三、其他認為有檢修之必要者。</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 xml:space="preserve">第十條　</w:t>
      </w:r>
      <w:r>
        <w:rPr>
          <w:rFonts w:ascii="標楷體" w:eastAsia="標楷體" w:hAnsi="標楷體" w:cs="標楷體"/>
          <w:bCs/>
          <w:sz w:val="28"/>
          <w:szCs w:val="32"/>
        </w:rPr>
        <w:t xml:space="preserve">  </w:t>
      </w:r>
      <w:r>
        <w:rPr>
          <w:rFonts w:ascii="標楷體" w:eastAsia="標楷體" w:hAnsi="標楷體" w:cs="標楷體"/>
          <w:bCs/>
          <w:sz w:val="28"/>
          <w:szCs w:val="32"/>
        </w:rPr>
        <w:t>電聯車動力、傳動、行駛、懸吊、聯結及煞車裝置之主要部分，施行臨時檢修時，應同時施行一級檢修。</w:t>
      </w:r>
    </w:p>
    <w:p w:rsidR="00261FD4" w:rsidRDefault="0081515D">
      <w:pPr>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第十一條</w:t>
      </w:r>
      <w:r>
        <w:rPr>
          <w:rFonts w:ascii="標楷體" w:eastAsia="標楷體" w:hAnsi="標楷體" w:cs="標楷體"/>
          <w:bCs/>
          <w:sz w:val="28"/>
          <w:szCs w:val="32"/>
        </w:rPr>
        <w:t xml:space="preserve">    </w:t>
      </w:r>
      <w:r>
        <w:rPr>
          <w:rFonts w:ascii="標楷體" w:eastAsia="標楷體" w:hAnsi="標楷體" w:cs="標楷體"/>
          <w:bCs/>
          <w:sz w:val="28"/>
          <w:szCs w:val="32"/>
        </w:rPr>
        <w:t>檢修完畢之電聯車，應將檢修級別、項目、日期及施行單位等資料建檔管理。</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第十二條</w:t>
      </w:r>
      <w:r>
        <w:rPr>
          <w:rFonts w:ascii="標楷體" w:eastAsia="標楷體" w:hAnsi="標楷體" w:cs="標楷體"/>
          <w:bCs/>
          <w:sz w:val="28"/>
          <w:szCs w:val="32"/>
        </w:rPr>
        <w:t xml:space="preserve">    </w:t>
      </w:r>
      <w:r>
        <w:rPr>
          <w:rFonts w:ascii="標楷體" w:eastAsia="標楷體" w:hAnsi="標楷體" w:cs="標楷體"/>
          <w:bCs/>
          <w:sz w:val="28"/>
          <w:szCs w:val="32"/>
        </w:rPr>
        <w:t>電聯車有下列情事之</w:t>
      </w:r>
      <w:proofErr w:type="gramStart"/>
      <w:r>
        <w:rPr>
          <w:rFonts w:ascii="標楷體" w:eastAsia="標楷體" w:hAnsi="標楷體" w:cs="標楷體"/>
          <w:bCs/>
          <w:sz w:val="28"/>
          <w:szCs w:val="32"/>
        </w:rPr>
        <w:t>一</w:t>
      </w:r>
      <w:proofErr w:type="gramEnd"/>
      <w:r>
        <w:rPr>
          <w:rFonts w:ascii="標楷體" w:eastAsia="標楷體" w:hAnsi="標楷體" w:cs="標楷體"/>
          <w:bCs/>
          <w:sz w:val="28"/>
          <w:szCs w:val="32"/>
        </w:rPr>
        <w:t>者，應施行試車：</w:t>
      </w:r>
    </w:p>
    <w:p w:rsidR="00261FD4" w:rsidRDefault="0081515D">
      <w:pPr>
        <w:pStyle w:val="a7"/>
        <w:numPr>
          <w:ilvl w:val="0"/>
          <w:numId w:val="8"/>
        </w:numPr>
        <w:spacing w:line="460" w:lineRule="exact"/>
        <w:ind w:left="2247" w:hanging="567"/>
        <w:rPr>
          <w:sz w:val="28"/>
          <w:szCs w:val="28"/>
        </w:rPr>
      </w:pPr>
      <w:r>
        <w:rPr>
          <w:sz w:val="28"/>
          <w:szCs w:val="28"/>
        </w:rPr>
        <w:t>施行四級檢修以上之檢修者。</w:t>
      </w:r>
    </w:p>
    <w:p w:rsidR="00261FD4" w:rsidRDefault="0081515D">
      <w:pPr>
        <w:pStyle w:val="a7"/>
        <w:numPr>
          <w:ilvl w:val="0"/>
          <w:numId w:val="8"/>
        </w:numPr>
        <w:spacing w:line="460" w:lineRule="exact"/>
        <w:ind w:left="2247" w:hanging="567"/>
        <w:rPr>
          <w:sz w:val="28"/>
          <w:szCs w:val="28"/>
        </w:rPr>
      </w:pPr>
      <w:r>
        <w:rPr>
          <w:sz w:val="28"/>
          <w:szCs w:val="28"/>
        </w:rPr>
        <w:t>施行臨時檢修時認有必要者。</w:t>
      </w:r>
    </w:p>
    <w:p w:rsidR="00261FD4" w:rsidRDefault="0081515D">
      <w:pPr>
        <w:pStyle w:val="a7"/>
        <w:numPr>
          <w:ilvl w:val="0"/>
          <w:numId w:val="8"/>
        </w:numPr>
        <w:spacing w:line="460" w:lineRule="exact"/>
        <w:ind w:left="2247" w:hanging="567"/>
        <w:rPr>
          <w:sz w:val="28"/>
          <w:szCs w:val="28"/>
        </w:rPr>
      </w:pPr>
      <w:r>
        <w:rPr>
          <w:sz w:val="28"/>
          <w:szCs w:val="28"/>
        </w:rPr>
        <w:t>動力、傳動、行駛裝置曾經解體修護者。</w:t>
      </w:r>
    </w:p>
    <w:p w:rsidR="00261FD4" w:rsidRDefault="0081515D">
      <w:pPr>
        <w:pStyle w:val="a7"/>
        <w:numPr>
          <w:ilvl w:val="0"/>
          <w:numId w:val="8"/>
        </w:numPr>
        <w:spacing w:line="460" w:lineRule="exact"/>
        <w:ind w:left="2247" w:hanging="567"/>
        <w:rPr>
          <w:sz w:val="28"/>
          <w:szCs w:val="28"/>
        </w:rPr>
      </w:pPr>
      <w:r>
        <w:rPr>
          <w:sz w:val="28"/>
          <w:szCs w:val="28"/>
        </w:rPr>
        <w:t>新製或改造完成之車輛者。</w:t>
      </w:r>
    </w:p>
    <w:p w:rsidR="00261FD4" w:rsidRDefault="0081515D">
      <w:pPr>
        <w:pStyle w:val="a7"/>
        <w:numPr>
          <w:ilvl w:val="0"/>
          <w:numId w:val="8"/>
        </w:numPr>
        <w:spacing w:line="460" w:lineRule="exact"/>
        <w:ind w:left="2247" w:hanging="567"/>
        <w:rPr>
          <w:sz w:val="28"/>
          <w:szCs w:val="28"/>
        </w:rPr>
      </w:pPr>
      <w:r>
        <w:rPr>
          <w:sz w:val="28"/>
          <w:szCs w:val="28"/>
        </w:rPr>
        <w:t>停用一年以上，復行使用者。</w:t>
      </w:r>
    </w:p>
    <w:p w:rsidR="00261FD4" w:rsidRDefault="0081515D">
      <w:pPr>
        <w:pStyle w:val="a7"/>
        <w:numPr>
          <w:ilvl w:val="0"/>
          <w:numId w:val="8"/>
        </w:numPr>
        <w:spacing w:line="460" w:lineRule="exact"/>
        <w:ind w:left="2247" w:hanging="567"/>
        <w:rPr>
          <w:sz w:val="28"/>
          <w:szCs w:val="28"/>
        </w:rPr>
      </w:pPr>
      <w:r>
        <w:rPr>
          <w:sz w:val="28"/>
          <w:szCs w:val="28"/>
        </w:rPr>
        <w:t>其他認為有試車之必要者。</w:t>
      </w:r>
    </w:p>
    <w:p w:rsidR="00261FD4" w:rsidRDefault="0081515D">
      <w:pPr>
        <w:spacing w:line="460" w:lineRule="exact"/>
        <w:ind w:left="1080" w:firstLine="560"/>
        <w:jc w:val="both"/>
        <w:rPr>
          <w:rFonts w:ascii="標楷體" w:eastAsia="標楷體" w:hAnsi="標楷體" w:cs="標楷體"/>
          <w:bCs/>
          <w:sz w:val="28"/>
          <w:szCs w:val="32"/>
        </w:rPr>
      </w:pPr>
      <w:r>
        <w:rPr>
          <w:rFonts w:ascii="標楷體" w:eastAsia="標楷體" w:hAnsi="標楷體" w:cs="標楷體"/>
          <w:bCs/>
          <w:sz w:val="28"/>
          <w:szCs w:val="32"/>
        </w:rPr>
        <w:t>依前項第一款至第五款規定試車者，以試車良好為檢修完畢日期，試車應依試車報告表規定事項執行，並</w:t>
      </w:r>
      <w:r>
        <w:rPr>
          <w:rFonts w:ascii="標楷體" w:eastAsia="標楷體" w:hAnsi="標楷體" w:cs="標楷體"/>
          <w:bCs/>
          <w:sz w:val="28"/>
          <w:szCs w:val="32"/>
        </w:rPr>
        <w:t>於試車完畢後</w:t>
      </w:r>
      <w:r>
        <w:rPr>
          <w:rFonts w:ascii="標楷體" w:eastAsia="標楷體" w:hAnsi="標楷體" w:cs="標楷體"/>
          <w:bCs/>
          <w:sz w:val="28"/>
          <w:szCs w:val="32"/>
        </w:rPr>
        <w:lastRenderedPageBreak/>
        <w:t>填具試車報告。</w:t>
      </w:r>
    </w:p>
    <w:p w:rsidR="00261FD4" w:rsidRDefault="0081515D">
      <w:pPr>
        <w:spacing w:line="460" w:lineRule="exact"/>
        <w:ind w:left="1080" w:firstLine="644"/>
        <w:jc w:val="both"/>
        <w:rPr>
          <w:rFonts w:ascii="標楷體" w:eastAsia="標楷體" w:hAnsi="標楷體" w:cs="標楷體"/>
          <w:bCs/>
          <w:sz w:val="28"/>
          <w:szCs w:val="32"/>
        </w:rPr>
      </w:pPr>
      <w:r>
        <w:rPr>
          <w:rFonts w:ascii="標楷體" w:eastAsia="標楷體" w:hAnsi="標楷體" w:cs="標楷體"/>
          <w:bCs/>
          <w:sz w:val="28"/>
          <w:szCs w:val="32"/>
        </w:rPr>
        <w:t>前項試車報告表格式，由營運機構訂之。</w:t>
      </w:r>
    </w:p>
    <w:p w:rsidR="00261FD4" w:rsidRDefault="0081515D">
      <w:pPr>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第十三條</w:t>
      </w:r>
      <w:r>
        <w:rPr>
          <w:rFonts w:ascii="標楷體" w:eastAsia="標楷體" w:hAnsi="標楷體" w:cs="標楷體"/>
          <w:bCs/>
          <w:sz w:val="28"/>
          <w:szCs w:val="32"/>
        </w:rPr>
        <w:t xml:space="preserve">    </w:t>
      </w:r>
      <w:r>
        <w:rPr>
          <w:rFonts w:ascii="標楷體" w:eastAsia="標楷體" w:hAnsi="標楷體" w:cs="標楷體"/>
          <w:bCs/>
          <w:sz w:val="28"/>
          <w:szCs w:val="32"/>
        </w:rPr>
        <w:t>電聯車因故停止使用超過一個月以上者，營運機構得不施行定期檢修。</w:t>
      </w:r>
    </w:p>
    <w:p w:rsidR="00261FD4" w:rsidRDefault="0081515D">
      <w:pPr>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第十四條</w:t>
      </w:r>
      <w:r>
        <w:rPr>
          <w:rFonts w:ascii="標楷體" w:eastAsia="標楷體" w:hAnsi="標楷體" w:cs="標楷體"/>
          <w:bCs/>
          <w:sz w:val="28"/>
          <w:szCs w:val="32"/>
        </w:rPr>
        <w:t xml:space="preserve">    </w:t>
      </w:r>
      <w:r>
        <w:rPr>
          <w:rFonts w:ascii="標楷體" w:eastAsia="標楷體" w:hAnsi="標楷體" w:cs="標楷體"/>
          <w:bCs/>
          <w:sz w:val="28"/>
          <w:szCs w:val="32"/>
        </w:rPr>
        <w:t>電聯車停用期間營運機構應施行適當之處理，於復行使用時應施予必要之檢修。</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第三章</w:t>
      </w:r>
      <w:r>
        <w:rPr>
          <w:rFonts w:ascii="標楷體" w:eastAsia="標楷體" w:hAnsi="標楷體" w:cs="標楷體"/>
          <w:bCs/>
          <w:sz w:val="28"/>
          <w:szCs w:val="32"/>
        </w:rPr>
        <w:t xml:space="preserve">    </w:t>
      </w:r>
      <w:r>
        <w:rPr>
          <w:rFonts w:ascii="標楷體" w:eastAsia="標楷體" w:hAnsi="標楷體" w:cs="標楷體"/>
          <w:bCs/>
          <w:sz w:val="28"/>
          <w:szCs w:val="32"/>
        </w:rPr>
        <w:t>機具檢修</w:t>
      </w:r>
    </w:p>
    <w:p w:rsidR="00261FD4" w:rsidRDefault="0081515D">
      <w:pPr>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第十五條</w:t>
      </w:r>
      <w:r>
        <w:rPr>
          <w:rFonts w:ascii="標楷體" w:eastAsia="標楷體" w:hAnsi="標楷體" w:cs="標楷體"/>
          <w:bCs/>
          <w:sz w:val="28"/>
          <w:szCs w:val="32"/>
        </w:rPr>
        <w:t xml:space="preserve">    </w:t>
      </w:r>
      <w:r>
        <w:rPr>
          <w:rFonts w:ascii="標楷體" w:eastAsia="標楷體" w:hAnsi="標楷體" w:cs="標楷體"/>
          <w:bCs/>
          <w:sz w:val="28"/>
          <w:szCs w:val="32"/>
        </w:rPr>
        <w:t>機具檢修應定期施行，其檢修等級、項目及檢修週期，應由營運機構依機具種類訂之。</w:t>
      </w:r>
    </w:p>
    <w:p w:rsidR="00261FD4" w:rsidRDefault="0081515D">
      <w:pPr>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第十六條</w:t>
      </w:r>
      <w:r>
        <w:rPr>
          <w:rFonts w:ascii="標楷體" w:eastAsia="標楷體" w:hAnsi="標楷體" w:cs="標楷體"/>
          <w:bCs/>
          <w:sz w:val="28"/>
          <w:szCs w:val="32"/>
        </w:rPr>
        <w:t xml:space="preserve">    </w:t>
      </w:r>
      <w:r>
        <w:rPr>
          <w:rFonts w:ascii="標楷體" w:eastAsia="標楷體" w:hAnsi="標楷體" w:cs="標楷體"/>
          <w:bCs/>
          <w:sz w:val="28"/>
          <w:szCs w:val="32"/>
        </w:rPr>
        <w:t>檢修完畢之機具，營運機構應將檢修級別、項目、日期及施行單位等資料建檔管理。</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 xml:space="preserve">第四章　</w:t>
      </w:r>
      <w:r>
        <w:rPr>
          <w:rFonts w:ascii="標楷體" w:eastAsia="標楷體" w:hAnsi="標楷體" w:cs="標楷體"/>
          <w:bCs/>
          <w:sz w:val="28"/>
          <w:szCs w:val="32"/>
        </w:rPr>
        <w:t xml:space="preserve">   </w:t>
      </w:r>
      <w:r>
        <w:rPr>
          <w:rFonts w:ascii="標楷體" w:eastAsia="標楷體" w:hAnsi="標楷體" w:cs="標楷體"/>
          <w:bCs/>
          <w:sz w:val="28"/>
          <w:szCs w:val="32"/>
        </w:rPr>
        <w:t>附則</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第十七條</w:t>
      </w:r>
      <w:r>
        <w:rPr>
          <w:rFonts w:ascii="標楷體" w:eastAsia="標楷體" w:hAnsi="標楷體" w:cs="標楷體"/>
          <w:bCs/>
          <w:sz w:val="28"/>
          <w:szCs w:val="32"/>
        </w:rPr>
        <w:t xml:space="preserve">    </w:t>
      </w:r>
      <w:r>
        <w:rPr>
          <w:rFonts w:ascii="標楷體" w:eastAsia="標楷體" w:hAnsi="標楷體" w:cs="標楷體"/>
          <w:bCs/>
          <w:sz w:val="28"/>
          <w:szCs w:val="32"/>
        </w:rPr>
        <w:t>本規則車輛、機具檢修實施作業規定，由營運機構訂之。</w:t>
      </w:r>
    </w:p>
    <w:p w:rsidR="00261FD4" w:rsidRDefault="0081515D">
      <w:pPr>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第十八條</w:t>
      </w:r>
      <w:r>
        <w:rPr>
          <w:rFonts w:ascii="標楷體" w:eastAsia="標楷體" w:hAnsi="標楷體" w:cs="標楷體"/>
          <w:bCs/>
          <w:sz w:val="28"/>
          <w:szCs w:val="32"/>
        </w:rPr>
        <w:t xml:space="preserve">    </w:t>
      </w:r>
      <w:r>
        <w:rPr>
          <w:rFonts w:ascii="標楷體" w:eastAsia="標楷體" w:hAnsi="標楷體" w:cs="標楷體"/>
          <w:bCs/>
          <w:sz w:val="28"/>
          <w:szCs w:val="32"/>
        </w:rPr>
        <w:t>本規則自發布日施行。</w:t>
      </w:r>
    </w:p>
    <w:p w:rsidR="00261FD4" w:rsidRDefault="00261FD4">
      <w:pPr>
        <w:spacing w:line="460" w:lineRule="exact"/>
        <w:ind w:left="840" w:hanging="840"/>
        <w:jc w:val="both"/>
        <w:rPr>
          <w:rFonts w:ascii="標楷體" w:eastAsia="標楷體" w:hAnsi="標楷體" w:cs="標楷體"/>
          <w:bCs/>
          <w:sz w:val="28"/>
          <w:szCs w:val="32"/>
        </w:rPr>
      </w:pPr>
    </w:p>
    <w:p w:rsidR="00261FD4" w:rsidRDefault="00261FD4">
      <w:pPr>
        <w:spacing w:line="460" w:lineRule="exact"/>
        <w:ind w:left="840" w:hanging="840"/>
        <w:jc w:val="both"/>
        <w:rPr>
          <w:rFonts w:ascii="標楷體" w:eastAsia="標楷體" w:hAnsi="標楷體" w:cs="標楷體"/>
          <w:bCs/>
          <w:sz w:val="28"/>
          <w:szCs w:val="32"/>
        </w:rPr>
      </w:pPr>
    </w:p>
    <w:sectPr w:rsidR="00261FD4">
      <w:footerReference w:type="default" r:id="rId7"/>
      <w:pgSz w:w="11906" w:h="16838"/>
      <w:pgMar w:top="1418" w:right="1418" w:bottom="1418" w:left="1701" w:header="851" w:footer="992" w:gutter="0"/>
      <w:pgNumType w:start="1"/>
      <w:cols w:space="720"/>
      <w:docGrid w:type="lines" w:linePitch="4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15D" w:rsidRDefault="0081515D">
      <w:r>
        <w:separator/>
      </w:r>
    </w:p>
  </w:endnote>
  <w:endnote w:type="continuationSeparator" w:id="0">
    <w:p w:rsidR="0081515D" w:rsidRDefault="00815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C94" w:rsidRDefault="0081515D">
    <w:pPr>
      <w:pStyle w:val="a5"/>
      <w:ind w:right="1120"/>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15D" w:rsidRDefault="0081515D">
      <w:r>
        <w:rPr>
          <w:color w:val="000000"/>
        </w:rPr>
        <w:separator/>
      </w:r>
    </w:p>
  </w:footnote>
  <w:footnote w:type="continuationSeparator" w:id="0">
    <w:p w:rsidR="0081515D" w:rsidRDefault="008151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821"/>
    <w:multiLevelType w:val="multilevel"/>
    <w:tmpl w:val="F25C4A62"/>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 w15:restartNumberingAfterBreak="0">
    <w:nsid w:val="48C3342C"/>
    <w:multiLevelType w:val="multilevel"/>
    <w:tmpl w:val="9620CCF0"/>
    <w:lvl w:ilvl="0">
      <w:start w:val="1"/>
      <w:numFmt w:val="taiwaneseCountingThousand"/>
      <w:lvlText w:val="%1、"/>
      <w:lvlJc w:val="left"/>
      <w:pPr>
        <w:ind w:left="730" w:hanging="480"/>
      </w:pPr>
      <w:rPr>
        <w:rFonts w:ascii="標楷體" w:eastAsia="標楷體" w:hAnsi="標楷體"/>
      </w:rPr>
    </w:lvl>
    <w:lvl w:ilvl="1">
      <w:start w:val="1"/>
      <w:numFmt w:val="ideographTraditional"/>
      <w:lvlText w:val="%2、"/>
      <w:lvlJc w:val="left"/>
      <w:pPr>
        <w:ind w:left="1210" w:hanging="480"/>
      </w:pPr>
    </w:lvl>
    <w:lvl w:ilvl="2">
      <w:start w:val="1"/>
      <w:numFmt w:val="taiwaneseCountingThousand"/>
      <w:lvlText w:val="%3."/>
      <w:lvlJc w:val="right"/>
      <w:pPr>
        <w:ind w:left="1690" w:hanging="480"/>
      </w:pPr>
    </w:lvl>
    <w:lvl w:ilvl="3">
      <w:start w:val="1"/>
      <w:numFmt w:val="decimal"/>
      <w:lvlText w:val="%4."/>
      <w:lvlJc w:val="left"/>
      <w:pPr>
        <w:ind w:left="2170" w:hanging="480"/>
      </w:pPr>
    </w:lvl>
    <w:lvl w:ilvl="4">
      <w:start w:val="1"/>
      <w:numFmt w:val="ideographTraditional"/>
      <w:lvlText w:val="%5、"/>
      <w:lvlJc w:val="left"/>
      <w:pPr>
        <w:ind w:left="2650" w:hanging="480"/>
      </w:pPr>
    </w:lvl>
    <w:lvl w:ilvl="5">
      <w:start w:val="1"/>
      <w:numFmt w:val="lowerRoman"/>
      <w:lvlText w:val="%6."/>
      <w:lvlJc w:val="right"/>
      <w:pPr>
        <w:ind w:left="3130" w:hanging="480"/>
      </w:pPr>
    </w:lvl>
    <w:lvl w:ilvl="6">
      <w:start w:val="1"/>
      <w:numFmt w:val="decimal"/>
      <w:lvlText w:val="%7."/>
      <w:lvlJc w:val="left"/>
      <w:pPr>
        <w:ind w:left="3610" w:hanging="480"/>
      </w:pPr>
    </w:lvl>
    <w:lvl w:ilvl="7">
      <w:start w:val="1"/>
      <w:numFmt w:val="ideographTraditional"/>
      <w:lvlText w:val="%8、"/>
      <w:lvlJc w:val="left"/>
      <w:pPr>
        <w:ind w:left="4090" w:hanging="480"/>
      </w:pPr>
    </w:lvl>
    <w:lvl w:ilvl="8">
      <w:start w:val="1"/>
      <w:numFmt w:val="lowerRoman"/>
      <w:lvlText w:val="%9."/>
      <w:lvlJc w:val="right"/>
      <w:pPr>
        <w:ind w:left="4570" w:hanging="480"/>
      </w:pPr>
    </w:lvl>
  </w:abstractNum>
  <w:abstractNum w:abstractNumId="2" w15:restartNumberingAfterBreak="0">
    <w:nsid w:val="4BEA08D8"/>
    <w:multiLevelType w:val="multilevel"/>
    <w:tmpl w:val="EF28738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FF953AE"/>
    <w:multiLevelType w:val="multilevel"/>
    <w:tmpl w:val="2474E586"/>
    <w:lvl w:ilvl="0">
      <w:start w:val="1"/>
      <w:numFmt w:val="taiwaneseCountingThousand"/>
      <w:lvlText w:val="%1、"/>
      <w:lvlJc w:val="left"/>
      <w:pPr>
        <w:ind w:left="4123"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3860912"/>
    <w:multiLevelType w:val="multilevel"/>
    <w:tmpl w:val="32D4574C"/>
    <w:lvl w:ilvl="0">
      <w:start w:val="1"/>
      <w:numFmt w:val="taiwaneseCountingThousand"/>
      <w:lvlText w:val="%1、"/>
      <w:lvlJc w:val="lef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5" w15:restartNumberingAfterBreak="0">
    <w:nsid w:val="55404225"/>
    <w:multiLevelType w:val="multilevel"/>
    <w:tmpl w:val="9FFAB9F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B5733AD"/>
    <w:multiLevelType w:val="multilevel"/>
    <w:tmpl w:val="58BC774E"/>
    <w:lvl w:ilvl="0">
      <w:start w:val="1"/>
      <w:numFmt w:val="taiwaneseCountingThousand"/>
      <w:lvlText w:val="%1、"/>
      <w:lvlJc w:val="left"/>
      <w:pPr>
        <w:ind w:left="1872" w:hanging="480"/>
      </w:pPr>
    </w:lvl>
    <w:lvl w:ilvl="1">
      <w:start w:val="1"/>
      <w:numFmt w:val="ideographTraditional"/>
      <w:lvlText w:val="%2、"/>
      <w:lvlJc w:val="left"/>
      <w:pPr>
        <w:ind w:left="2352" w:hanging="480"/>
      </w:pPr>
    </w:lvl>
    <w:lvl w:ilvl="2">
      <w:start w:val="1"/>
      <w:numFmt w:val="lowerRoman"/>
      <w:lvlText w:val="%3."/>
      <w:lvlJc w:val="right"/>
      <w:pPr>
        <w:ind w:left="2832" w:hanging="480"/>
      </w:pPr>
    </w:lvl>
    <w:lvl w:ilvl="3">
      <w:start w:val="1"/>
      <w:numFmt w:val="decimal"/>
      <w:lvlText w:val="%4."/>
      <w:lvlJc w:val="left"/>
      <w:pPr>
        <w:ind w:left="3312" w:hanging="480"/>
      </w:pPr>
    </w:lvl>
    <w:lvl w:ilvl="4">
      <w:start w:val="1"/>
      <w:numFmt w:val="ideographTraditional"/>
      <w:lvlText w:val="%5、"/>
      <w:lvlJc w:val="left"/>
      <w:pPr>
        <w:ind w:left="3792" w:hanging="480"/>
      </w:pPr>
    </w:lvl>
    <w:lvl w:ilvl="5">
      <w:start w:val="1"/>
      <w:numFmt w:val="lowerRoman"/>
      <w:lvlText w:val="%6."/>
      <w:lvlJc w:val="right"/>
      <w:pPr>
        <w:ind w:left="4272" w:hanging="480"/>
      </w:pPr>
    </w:lvl>
    <w:lvl w:ilvl="6">
      <w:start w:val="1"/>
      <w:numFmt w:val="decimal"/>
      <w:lvlText w:val="%7."/>
      <w:lvlJc w:val="left"/>
      <w:pPr>
        <w:ind w:left="4752" w:hanging="480"/>
      </w:pPr>
    </w:lvl>
    <w:lvl w:ilvl="7">
      <w:start w:val="1"/>
      <w:numFmt w:val="ideographTraditional"/>
      <w:lvlText w:val="%8、"/>
      <w:lvlJc w:val="left"/>
      <w:pPr>
        <w:ind w:left="5232" w:hanging="480"/>
      </w:pPr>
    </w:lvl>
    <w:lvl w:ilvl="8">
      <w:start w:val="1"/>
      <w:numFmt w:val="lowerRoman"/>
      <w:lvlText w:val="%9."/>
      <w:lvlJc w:val="right"/>
      <w:pPr>
        <w:ind w:left="5712" w:hanging="480"/>
      </w:pPr>
    </w:lvl>
  </w:abstractNum>
  <w:abstractNum w:abstractNumId="7" w15:restartNumberingAfterBreak="0">
    <w:nsid w:val="76C4013A"/>
    <w:multiLevelType w:val="multilevel"/>
    <w:tmpl w:val="84CC1CF2"/>
    <w:lvl w:ilvl="0">
      <w:start w:val="1"/>
      <w:numFmt w:val="taiwaneseCountingThousand"/>
      <w:lvlText w:val="%1、"/>
      <w:lvlJc w:val="left"/>
      <w:pPr>
        <w:ind w:left="1872" w:hanging="480"/>
      </w:pPr>
    </w:lvl>
    <w:lvl w:ilvl="1">
      <w:start w:val="1"/>
      <w:numFmt w:val="ideographTraditional"/>
      <w:lvlText w:val="%2、"/>
      <w:lvlJc w:val="left"/>
      <w:pPr>
        <w:ind w:left="2352" w:hanging="480"/>
      </w:pPr>
    </w:lvl>
    <w:lvl w:ilvl="2">
      <w:start w:val="1"/>
      <w:numFmt w:val="lowerRoman"/>
      <w:lvlText w:val="%3."/>
      <w:lvlJc w:val="right"/>
      <w:pPr>
        <w:ind w:left="2832" w:hanging="480"/>
      </w:pPr>
    </w:lvl>
    <w:lvl w:ilvl="3">
      <w:start w:val="1"/>
      <w:numFmt w:val="decimal"/>
      <w:lvlText w:val="%4."/>
      <w:lvlJc w:val="left"/>
      <w:pPr>
        <w:ind w:left="3312" w:hanging="480"/>
      </w:pPr>
    </w:lvl>
    <w:lvl w:ilvl="4">
      <w:start w:val="1"/>
      <w:numFmt w:val="ideographTraditional"/>
      <w:lvlText w:val="%5、"/>
      <w:lvlJc w:val="left"/>
      <w:pPr>
        <w:ind w:left="3792" w:hanging="480"/>
      </w:pPr>
    </w:lvl>
    <w:lvl w:ilvl="5">
      <w:start w:val="1"/>
      <w:numFmt w:val="lowerRoman"/>
      <w:lvlText w:val="%6."/>
      <w:lvlJc w:val="right"/>
      <w:pPr>
        <w:ind w:left="4272" w:hanging="480"/>
      </w:pPr>
    </w:lvl>
    <w:lvl w:ilvl="6">
      <w:start w:val="1"/>
      <w:numFmt w:val="decimal"/>
      <w:lvlText w:val="%7."/>
      <w:lvlJc w:val="left"/>
      <w:pPr>
        <w:ind w:left="4752" w:hanging="480"/>
      </w:pPr>
    </w:lvl>
    <w:lvl w:ilvl="7">
      <w:start w:val="1"/>
      <w:numFmt w:val="ideographTraditional"/>
      <w:lvlText w:val="%8、"/>
      <w:lvlJc w:val="left"/>
      <w:pPr>
        <w:ind w:left="5232" w:hanging="480"/>
      </w:pPr>
    </w:lvl>
    <w:lvl w:ilvl="8">
      <w:start w:val="1"/>
      <w:numFmt w:val="lowerRoman"/>
      <w:lvlText w:val="%9."/>
      <w:lvlJc w:val="right"/>
      <w:pPr>
        <w:ind w:left="5712" w:hanging="480"/>
      </w:p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261FD4"/>
    <w:rsid w:val="00261FD4"/>
    <w:rsid w:val="0051076D"/>
    <w:rsid w:val="008151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F406EF-C8A4-435E-A8E2-8E991F00B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kern w:val="0"/>
      <w:sz w:val="20"/>
    </w:rPr>
  </w:style>
  <w:style w:type="character" w:customStyle="1" w:styleId="a4">
    <w:name w:val="頁首 字元"/>
    <w:rPr>
      <w:rFonts w:ascii="Times New Roman" w:eastAsia="新細明體" w:hAnsi="Times New Roman" w:cs="Times New Roman"/>
      <w:sz w:val="20"/>
      <w:szCs w:val="20"/>
    </w:rPr>
  </w:style>
  <w:style w:type="paragraph" w:styleId="a5">
    <w:name w:val="footer"/>
    <w:basedOn w:val="a"/>
    <w:pPr>
      <w:tabs>
        <w:tab w:val="center" w:pos="4153"/>
        <w:tab w:val="right" w:pos="8306"/>
      </w:tabs>
      <w:snapToGrid w:val="0"/>
    </w:pPr>
    <w:rPr>
      <w:kern w:val="0"/>
      <w:sz w:val="20"/>
    </w:rPr>
  </w:style>
  <w:style w:type="character" w:customStyle="1" w:styleId="a6">
    <w:name w:val="頁尾 字元"/>
    <w:rPr>
      <w:rFonts w:ascii="Times New Roman" w:eastAsia="新細明體" w:hAnsi="Times New Roman" w:cs="Times New Roman"/>
      <w:sz w:val="20"/>
      <w:szCs w:val="20"/>
    </w:rPr>
  </w:style>
  <w:style w:type="paragraph" w:customStyle="1" w:styleId="a7">
    <w:name w:val="草案條文"/>
    <w:basedOn w:val="a"/>
    <w:pPr>
      <w:ind w:left="283" w:hanging="283"/>
      <w:jc w:val="both"/>
    </w:pPr>
    <w:rPr>
      <w:rFonts w:ascii="標楷體" w:eastAsia="標楷體" w:hAnsi="標楷體"/>
      <w:color w:val="000000"/>
      <w:szCs w:val="24"/>
    </w:rPr>
  </w:style>
  <w:style w:type="paragraph" w:customStyle="1" w:styleId="a8">
    <w:name w:val="條文"/>
    <w:basedOn w:val="a"/>
    <w:pPr>
      <w:ind w:left="2053" w:hanging="2053"/>
      <w:jc w:val="both"/>
    </w:pPr>
    <w:rPr>
      <w:rFonts w:ascii="標楷體" w:eastAsia="標楷體" w:hAnsi="標楷體"/>
      <w:spacing w:val="30"/>
      <w:sz w:val="28"/>
      <w:szCs w:val="28"/>
    </w:rPr>
  </w:style>
  <w:style w:type="paragraph" w:customStyle="1" w:styleId="a9">
    <w:name w:val="條文一、"/>
    <w:basedOn w:val="a"/>
    <w:pPr>
      <w:ind w:left="2745" w:hanging="692"/>
      <w:jc w:val="both"/>
    </w:pPr>
    <w:rPr>
      <w:rFonts w:ascii="標楷體" w:eastAsia="標楷體" w:hAnsi="標楷體" w:cs="Century"/>
      <w:spacing w:val="30"/>
      <w:sz w:val="28"/>
      <w:szCs w:val="28"/>
    </w:rPr>
  </w:style>
  <w:style w:type="paragraph" w:customStyle="1" w:styleId="aa">
    <w:name w:val="章節"/>
    <w:basedOn w:val="a"/>
    <w:pPr>
      <w:spacing w:before="120" w:after="120"/>
      <w:ind w:left="1032"/>
      <w:jc w:val="both"/>
    </w:pPr>
    <w:rPr>
      <w:rFonts w:ascii="標楷體" w:eastAsia="標楷體" w:hAnsi="標楷體"/>
      <w:b/>
      <w:spacing w:val="10"/>
      <w:sz w:val="28"/>
      <w:szCs w:val="28"/>
    </w:rPr>
  </w:style>
  <w:style w:type="paragraph" w:styleId="ab">
    <w:name w:val="Balloon Text"/>
    <w:basedOn w:val="a"/>
    <w:rPr>
      <w:rFonts w:ascii="Cambria" w:hAnsi="Cambria"/>
      <w:sz w:val="18"/>
      <w:szCs w:val="18"/>
    </w:rPr>
  </w:style>
  <w:style w:type="character" w:customStyle="1" w:styleId="ac">
    <w:name w:val="註解方塊文字 字元"/>
    <w:rPr>
      <w:rFonts w:ascii="Cambria" w:eastAsia="新細明體" w:hAnsi="Cambria"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553</Words>
  <Characters>3158</Characters>
  <Application>Microsoft Office Word</Application>
  <DocSecurity>0</DocSecurity>
  <Lines>26</Lines>
  <Paragraphs>7</Paragraphs>
  <ScaleCrop>false</ScaleCrop>
  <Company/>
  <LinksUpToDate>false</LinksUpToDate>
  <CharactersWithSpaces>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臺中市捷運系統旅客運送規則</dc:title>
  <dc:creator>Eric Tseng</dc:creator>
  <cp:lastModifiedBy>施右容</cp:lastModifiedBy>
  <cp:revision>2</cp:revision>
  <cp:lastPrinted>2018-11-21T09:25:00Z</cp:lastPrinted>
  <dcterms:created xsi:type="dcterms:W3CDTF">2019-05-02T06:49:00Z</dcterms:created>
  <dcterms:modified xsi:type="dcterms:W3CDTF">2019-05-02T06:49:00Z</dcterms:modified>
</cp:coreProperties>
</file>