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A29" w:rsidRDefault="00AD7A29" w:rsidP="00AD7A29">
      <w:pPr>
        <w:spacing w:line="460" w:lineRule="exact"/>
        <w:rPr>
          <w:rFonts w:ascii="Times New Roman" w:eastAsia="標楷體" w:hAnsi="Times New Roman"/>
          <w:sz w:val="40"/>
          <w:szCs w:val="40"/>
        </w:rPr>
      </w:pPr>
      <w:bookmarkStart w:id="0" w:name="_GoBack"/>
      <w:r>
        <w:rPr>
          <w:rFonts w:ascii="Times New Roman" w:eastAsia="標楷體" w:hAnsi="Times New Roman" w:hint="eastAsia"/>
          <w:sz w:val="40"/>
          <w:szCs w:val="40"/>
        </w:rPr>
        <w:t>臺中市市區汽車客運營運與服務評鑑執行要點</w:t>
      </w:r>
    </w:p>
    <w:bookmarkEnd w:id="0"/>
    <w:p w:rsidR="00AD7A29" w:rsidRDefault="00AD7A29" w:rsidP="00AD7A29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一、</w:t>
      </w:r>
      <w:r w:rsidRPr="00484DE7">
        <w:rPr>
          <w:rFonts w:ascii="標楷體" w:eastAsia="標楷體" w:hAnsi="標楷體" w:hint="eastAsia"/>
          <w:color w:val="000000"/>
          <w:sz w:val="28"/>
          <w:szCs w:val="28"/>
        </w:rPr>
        <w:t>臺中市政府為加強督導臺中市(以下簡稱本市)轄市區汽車客運業之營運管理，提升市區汽車客運經營績效與服務水準，依大眾運輸營運與服務評鑑辦法第四條規定，訂定本要點。</w:t>
      </w:r>
    </w:p>
    <w:p w:rsidR="00AD7A29" w:rsidRPr="00484DE7" w:rsidRDefault="00AD7A29" w:rsidP="00AD7A29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484DE7">
        <w:rPr>
          <w:rFonts w:ascii="標楷體" w:eastAsia="標楷體" w:hAnsi="標楷體" w:hint="eastAsia"/>
          <w:color w:val="000000"/>
          <w:sz w:val="28"/>
          <w:szCs w:val="28"/>
        </w:rPr>
        <w:t>二、</w:t>
      </w:r>
      <w:r w:rsidRPr="00484DE7">
        <w:rPr>
          <w:rFonts w:ascii="標楷體" w:eastAsia="標楷體" w:hAnsi="標楷體"/>
          <w:color w:val="000000"/>
          <w:sz w:val="28"/>
          <w:szCs w:val="28"/>
        </w:rPr>
        <w:t>評鑑作業應達成以下目標：</w:t>
      </w:r>
    </w:p>
    <w:p w:rsidR="00AD7A29" w:rsidRPr="00484DE7" w:rsidRDefault="00AD7A29" w:rsidP="00AD7A29">
      <w:pPr>
        <w:spacing w:line="460" w:lineRule="exact"/>
        <w:ind w:left="630" w:hangingChars="225" w:hanging="63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（</w:t>
      </w:r>
      <w:r w:rsidRPr="00484DE7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Pr="00484DE7">
        <w:rPr>
          <w:rFonts w:ascii="標楷體" w:eastAsia="標楷體" w:hAnsi="標楷體"/>
          <w:color w:val="000000"/>
          <w:sz w:val="28"/>
          <w:szCs w:val="28"/>
        </w:rPr>
        <w:t>作為客運業者改善營運及提昇服務品質之依據。</w:t>
      </w:r>
    </w:p>
    <w:p w:rsidR="00AD7A29" w:rsidRPr="00484DE7" w:rsidRDefault="00AD7A29" w:rsidP="00AD7A29">
      <w:pPr>
        <w:spacing w:line="460" w:lineRule="exact"/>
        <w:ind w:left="630" w:hangingChars="225" w:hanging="63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（</w:t>
      </w:r>
      <w:r w:rsidRPr="00484DE7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Pr="00484DE7">
        <w:rPr>
          <w:rFonts w:ascii="標楷體" w:eastAsia="標楷體" w:hAnsi="標楷體"/>
          <w:color w:val="000000"/>
          <w:sz w:val="28"/>
          <w:szCs w:val="28"/>
        </w:rPr>
        <w:t>作為民眾選擇搭乘大眾運輸工具參考依據。</w:t>
      </w:r>
    </w:p>
    <w:p w:rsidR="00AD7A29" w:rsidRPr="00484DE7" w:rsidRDefault="00AD7A29" w:rsidP="00AD7A29">
      <w:pPr>
        <w:spacing w:line="460" w:lineRule="exact"/>
        <w:ind w:left="630" w:hangingChars="225" w:hanging="63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（</w:t>
      </w:r>
      <w:r w:rsidRPr="00484DE7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Pr="00484DE7">
        <w:rPr>
          <w:rFonts w:ascii="標楷體" w:eastAsia="標楷體" w:hAnsi="標楷體"/>
          <w:color w:val="000000"/>
          <w:sz w:val="28"/>
          <w:szCs w:val="28"/>
        </w:rPr>
        <w:t>作為主管機關監督管理、獎懲之依據。</w:t>
      </w:r>
    </w:p>
    <w:p w:rsidR="00AD7A29" w:rsidRPr="00484DE7" w:rsidRDefault="00AD7A29" w:rsidP="00AD7A29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（</w:t>
      </w:r>
      <w:r w:rsidRPr="00484DE7"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Pr="00484DE7">
        <w:rPr>
          <w:rFonts w:ascii="標楷體" w:eastAsia="標楷體" w:hAnsi="標楷體"/>
          <w:color w:val="000000"/>
          <w:sz w:val="28"/>
          <w:szCs w:val="28"/>
        </w:rPr>
        <w:t>提供</w:t>
      </w:r>
      <w:r w:rsidRPr="00484DE7">
        <w:rPr>
          <w:rFonts w:ascii="標楷體" w:eastAsia="標楷體" w:hAnsi="標楷體" w:hint="eastAsia"/>
          <w:color w:val="000000"/>
          <w:sz w:val="28"/>
          <w:szCs w:val="28"/>
        </w:rPr>
        <w:t>主管機關</w:t>
      </w:r>
      <w:r w:rsidRPr="00484DE7">
        <w:rPr>
          <w:rFonts w:ascii="標楷體" w:eastAsia="標楷體" w:hAnsi="標楷體"/>
          <w:color w:val="000000"/>
          <w:sz w:val="28"/>
          <w:szCs w:val="28"/>
        </w:rPr>
        <w:t>改</w:t>
      </w:r>
      <w:r w:rsidRPr="00484DE7">
        <w:rPr>
          <w:rFonts w:ascii="標楷體" w:eastAsia="標楷體" w:hAnsi="標楷體" w:hint="eastAsia"/>
          <w:color w:val="000000"/>
          <w:sz w:val="28"/>
          <w:szCs w:val="28"/>
        </w:rPr>
        <w:t>善</w:t>
      </w:r>
      <w:r w:rsidRPr="00484DE7">
        <w:rPr>
          <w:rFonts w:ascii="標楷體" w:eastAsia="標楷體" w:hAnsi="標楷體"/>
          <w:color w:val="000000"/>
          <w:sz w:val="28"/>
          <w:szCs w:val="28"/>
        </w:rPr>
        <w:t>評鑑方法及有效管理</w:t>
      </w:r>
      <w:r w:rsidRPr="00484DE7">
        <w:rPr>
          <w:rFonts w:ascii="標楷體" w:eastAsia="標楷體" w:hAnsi="標楷體" w:hint="eastAsia"/>
          <w:color w:val="000000"/>
          <w:sz w:val="28"/>
          <w:szCs w:val="28"/>
        </w:rPr>
        <w:t>市區汽車客運</w:t>
      </w:r>
      <w:r w:rsidRPr="00484DE7">
        <w:rPr>
          <w:rFonts w:ascii="標楷體" w:eastAsia="標楷體" w:hAnsi="標楷體"/>
          <w:color w:val="000000"/>
          <w:sz w:val="28"/>
          <w:szCs w:val="28"/>
        </w:rPr>
        <w:t>業者</w:t>
      </w:r>
      <w:r w:rsidRPr="00484DE7">
        <w:rPr>
          <w:rFonts w:ascii="標楷體" w:eastAsia="標楷體" w:hAnsi="標楷體" w:hint="eastAsia"/>
          <w:color w:val="000000"/>
          <w:sz w:val="28"/>
          <w:szCs w:val="28"/>
        </w:rPr>
        <w:t>(以下簡稱業者)</w:t>
      </w:r>
      <w:r w:rsidRPr="00484DE7">
        <w:rPr>
          <w:rFonts w:ascii="標楷體" w:eastAsia="標楷體" w:hAnsi="標楷體"/>
          <w:color w:val="000000"/>
          <w:sz w:val="28"/>
          <w:szCs w:val="28"/>
        </w:rPr>
        <w:t>之建議參考。</w:t>
      </w:r>
    </w:p>
    <w:p w:rsidR="00AD7A29" w:rsidRPr="00484DE7" w:rsidRDefault="00AD7A29" w:rsidP="00AD7A29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（</w:t>
      </w:r>
      <w:r w:rsidRPr="00484DE7"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Pr="00484DE7">
        <w:rPr>
          <w:rFonts w:ascii="標楷體" w:eastAsia="標楷體" w:hAnsi="標楷體"/>
          <w:color w:val="000000"/>
          <w:sz w:val="28"/>
          <w:szCs w:val="28"/>
        </w:rPr>
        <w:t>提供</w:t>
      </w:r>
      <w:r w:rsidRPr="00484DE7">
        <w:rPr>
          <w:rFonts w:ascii="標楷體" w:eastAsia="標楷體" w:hAnsi="標楷體" w:hint="eastAsia"/>
          <w:color w:val="000000"/>
          <w:sz w:val="28"/>
          <w:szCs w:val="28"/>
        </w:rPr>
        <w:t>主管機關作</w:t>
      </w:r>
      <w:r w:rsidRPr="00484DE7">
        <w:rPr>
          <w:rFonts w:ascii="標楷體" w:eastAsia="標楷體" w:hAnsi="標楷體"/>
          <w:color w:val="000000"/>
          <w:sz w:val="28"/>
          <w:szCs w:val="28"/>
        </w:rPr>
        <w:t>為</w:t>
      </w:r>
      <w:r w:rsidRPr="00484DE7">
        <w:rPr>
          <w:rFonts w:ascii="標楷體" w:eastAsia="標楷體" w:hAnsi="標楷體" w:hint="eastAsia"/>
          <w:color w:val="000000"/>
          <w:sz w:val="28"/>
          <w:szCs w:val="28"/>
        </w:rPr>
        <w:t>大眾運輸路線經營權、營運虧損補貼計畫及其他大眾運輸獎助計畫審議之參考依據。</w:t>
      </w:r>
    </w:p>
    <w:p w:rsidR="00AD7A29" w:rsidRPr="00484DE7" w:rsidRDefault="00AD7A29" w:rsidP="00AD7A29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484DE7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Pr="00484DE7">
        <w:rPr>
          <w:rFonts w:ascii="標楷體" w:eastAsia="標楷體" w:hAnsi="標楷體"/>
          <w:color w:val="000000"/>
          <w:sz w:val="28"/>
          <w:szCs w:val="28"/>
        </w:rPr>
        <w:t>評鑑作業每一年辦理一次</w:t>
      </w:r>
      <w:r w:rsidRPr="00484DE7">
        <w:rPr>
          <w:rFonts w:ascii="標楷體" w:eastAsia="標楷體" w:hAnsi="標楷體" w:hint="eastAsia"/>
          <w:color w:val="000000"/>
          <w:sz w:val="28"/>
          <w:szCs w:val="28"/>
        </w:rPr>
        <w:t>，並</w:t>
      </w:r>
      <w:r w:rsidRPr="00484DE7">
        <w:rPr>
          <w:rFonts w:ascii="標楷體" w:eastAsia="標楷體" w:hAnsi="標楷體"/>
          <w:color w:val="000000"/>
          <w:sz w:val="28"/>
          <w:szCs w:val="28"/>
        </w:rPr>
        <w:t>以</w:t>
      </w:r>
      <w:r w:rsidRPr="00484DE7">
        <w:rPr>
          <w:rFonts w:ascii="標楷體" w:eastAsia="標楷體" w:hAnsi="標楷體" w:hint="eastAsia"/>
          <w:color w:val="000000"/>
          <w:sz w:val="28"/>
          <w:szCs w:val="28"/>
        </w:rPr>
        <w:t>前一年度十一月三十日前</w:t>
      </w:r>
      <w:r>
        <w:rPr>
          <w:rFonts w:ascii="標楷體" w:eastAsia="標楷體" w:hAnsi="標楷體" w:hint="eastAsia"/>
          <w:color w:val="000000"/>
          <w:sz w:val="28"/>
          <w:szCs w:val="28"/>
        </w:rPr>
        <w:t>主管機關</w:t>
      </w:r>
      <w:r w:rsidRPr="00484DE7">
        <w:rPr>
          <w:rFonts w:ascii="標楷體" w:eastAsia="標楷體" w:hAnsi="標楷體"/>
          <w:color w:val="000000"/>
          <w:sz w:val="28"/>
          <w:szCs w:val="28"/>
        </w:rPr>
        <w:t>核定通車營運之市區</w:t>
      </w:r>
      <w:r w:rsidRPr="00484DE7">
        <w:rPr>
          <w:rFonts w:ascii="標楷體" w:eastAsia="標楷體" w:hAnsi="標楷體" w:hint="eastAsia"/>
          <w:color w:val="000000"/>
          <w:sz w:val="28"/>
          <w:szCs w:val="28"/>
        </w:rPr>
        <w:t>汽車客運</w:t>
      </w:r>
      <w:r w:rsidRPr="00484DE7">
        <w:rPr>
          <w:rFonts w:ascii="標楷體" w:eastAsia="標楷體" w:hAnsi="標楷體"/>
          <w:color w:val="000000"/>
          <w:sz w:val="28"/>
          <w:szCs w:val="28"/>
        </w:rPr>
        <w:t>經營業者及其經營路線為對象</w:t>
      </w:r>
      <w:r w:rsidRPr="00484DE7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D7A29" w:rsidRPr="00484DE7" w:rsidRDefault="00AD7A29" w:rsidP="00AD7A29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484DE7">
        <w:rPr>
          <w:rFonts w:ascii="標楷體" w:eastAsia="標楷體" w:hAnsi="標楷體" w:hint="eastAsia"/>
          <w:color w:val="000000"/>
          <w:sz w:val="28"/>
          <w:szCs w:val="28"/>
        </w:rPr>
        <w:t>四、本市公車營運與服務評鑑依據「場站設施與服務」、「運輸工具設備與安全」、「旅客服務品質與駕駛員管理」、「無障礙之場站設施、服務、運輸工具設備與安全」及「公司經營與管理」等評鑑項目訂定評鑑指標及計分方式。</w:t>
      </w:r>
    </w:p>
    <w:p w:rsidR="00AD7A29" w:rsidRPr="00484DE7" w:rsidRDefault="00AD7A29" w:rsidP="00AD7A29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484DE7">
        <w:rPr>
          <w:rFonts w:ascii="標楷體" w:eastAsia="標楷體" w:hAnsi="標楷體" w:hint="eastAsia"/>
          <w:color w:val="000000"/>
          <w:sz w:val="28"/>
          <w:szCs w:val="28"/>
        </w:rPr>
        <w:t>五、</w:t>
      </w:r>
      <w:r w:rsidRPr="00484DE7">
        <w:rPr>
          <w:rFonts w:ascii="標楷體" w:eastAsia="標楷體" w:hAnsi="標楷體"/>
          <w:color w:val="000000"/>
          <w:sz w:val="28"/>
          <w:szCs w:val="28"/>
        </w:rPr>
        <w:t>評鑑作業時程及辦理方式</w:t>
      </w:r>
      <w:r w:rsidRPr="00484DE7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AD7A29" w:rsidRPr="00484DE7" w:rsidRDefault="00AD7A29" w:rsidP="00AD7A29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（</w:t>
      </w:r>
      <w:r w:rsidRPr="00484DE7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Pr="00A16954">
        <w:rPr>
          <w:rFonts w:ascii="標楷體" w:eastAsia="標楷體" w:hAnsi="標楷體" w:hint="eastAsia"/>
          <w:color w:val="000000"/>
          <w:sz w:val="28"/>
          <w:szCs w:val="28"/>
        </w:rPr>
        <w:t>評鑑作業時程以隔年度六月三十日前完成當年度評鑑作業為       原則，惟仍以委外辦理契約為主。</w:t>
      </w:r>
    </w:p>
    <w:p w:rsidR="00AD7A29" w:rsidRDefault="00AD7A29" w:rsidP="00AD7A29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（</w:t>
      </w:r>
      <w:r w:rsidRPr="00484DE7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Pr="00A16954">
        <w:rPr>
          <w:rFonts w:ascii="標楷體" w:eastAsia="標楷體" w:hAnsi="標楷體" w:hint="eastAsia"/>
          <w:color w:val="000000"/>
          <w:sz w:val="28"/>
          <w:szCs w:val="28"/>
        </w:rPr>
        <w:t>評鑑作業計畫得委託公私立機構或法人團體辦理；辦理招標   作業時，應依政府採購法相關規定辦理。</w:t>
      </w:r>
    </w:p>
    <w:p w:rsidR="00AD7A29" w:rsidRDefault="00AD7A29" w:rsidP="00AD7A29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(三) </w:t>
      </w:r>
      <w:r w:rsidRPr="00A16954">
        <w:rPr>
          <w:rFonts w:ascii="標楷體" w:eastAsia="標楷體" w:hAnsi="標楷體" w:hint="eastAsia"/>
          <w:color w:val="000000"/>
          <w:sz w:val="28"/>
          <w:szCs w:val="28"/>
        </w:rPr>
        <w:t>評鑑作業辦理方式得採秘密客調查或民意調查等方式進行，其調查方式得參採前揭評鑑項目訂定，其結果得併入評鑑總成績。</w:t>
      </w:r>
    </w:p>
    <w:p w:rsidR="00AD7A29" w:rsidRDefault="00AD7A29" w:rsidP="00AD7A29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六、</w:t>
      </w:r>
      <w:r w:rsidRPr="007B2240">
        <w:rPr>
          <w:rFonts w:ascii="標楷體" w:eastAsia="標楷體" w:hAnsi="標楷體" w:hint="eastAsia"/>
          <w:color w:val="000000"/>
          <w:sz w:val="28"/>
          <w:szCs w:val="28"/>
        </w:rPr>
        <w:t>評鑑作業所須經費以</w:t>
      </w:r>
      <w:r w:rsidRPr="00382A65">
        <w:rPr>
          <w:rFonts w:ascii="標楷體" w:eastAsia="標楷體" w:hAnsi="標楷體" w:hint="eastAsia"/>
          <w:color w:val="000000"/>
          <w:sz w:val="28"/>
          <w:szCs w:val="28"/>
        </w:rPr>
        <w:t>臺中市政府</w:t>
      </w:r>
      <w:r w:rsidRPr="007B2240">
        <w:rPr>
          <w:rFonts w:ascii="標楷體" w:eastAsia="標楷體" w:hAnsi="標楷體" w:hint="eastAsia"/>
          <w:color w:val="000000"/>
          <w:sz w:val="28"/>
          <w:szCs w:val="28"/>
        </w:rPr>
        <w:t>自行編列為主，並視需要爭取中央</w:t>
      </w:r>
    </w:p>
    <w:p w:rsidR="00AD7A29" w:rsidRPr="00484DE7" w:rsidRDefault="00AD7A29" w:rsidP="00AD7A29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Pr="007B2240">
        <w:rPr>
          <w:rFonts w:ascii="標楷體" w:eastAsia="標楷體" w:hAnsi="標楷體" w:hint="eastAsia"/>
          <w:color w:val="000000"/>
          <w:sz w:val="28"/>
          <w:szCs w:val="28"/>
        </w:rPr>
        <w:t>補助經費。</w:t>
      </w:r>
    </w:p>
    <w:p w:rsidR="00AD7A29" w:rsidRPr="001F510D" w:rsidRDefault="00AD7A29" w:rsidP="00AD7A29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七</w:t>
      </w:r>
      <w:r w:rsidRPr="001F510D">
        <w:rPr>
          <w:rFonts w:ascii="標楷體" w:eastAsia="標楷體" w:hAnsi="標楷體" w:hint="eastAsia"/>
          <w:color w:val="000000"/>
          <w:sz w:val="28"/>
          <w:szCs w:val="28"/>
        </w:rPr>
        <w:t>、評鑑結果之評等按評鑑標的不同，區分為路線別與公司別，並依</w:t>
      </w:r>
      <w:r w:rsidRPr="001F510D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分數高低予以列等，標準如下：</w:t>
      </w:r>
    </w:p>
    <w:p w:rsidR="00AD7A29" w:rsidRPr="001F510D" w:rsidRDefault="00AD7A29" w:rsidP="00AD7A29">
      <w:pPr>
        <w:spacing w:line="460" w:lineRule="exact"/>
        <w:ind w:left="630" w:hangingChars="225" w:hanging="63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（</w:t>
      </w:r>
      <w:r w:rsidRPr="001F510D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Pr="001F510D">
        <w:rPr>
          <w:rFonts w:ascii="標楷體" w:eastAsia="標楷體" w:hAnsi="標楷體"/>
          <w:color w:val="000000"/>
          <w:sz w:val="28"/>
          <w:szCs w:val="28"/>
        </w:rPr>
        <w:t>優等：</w:t>
      </w:r>
      <w:r w:rsidRPr="001F510D">
        <w:rPr>
          <w:rFonts w:ascii="標楷體" w:eastAsia="標楷體" w:hAnsi="標楷體" w:hint="eastAsia"/>
          <w:color w:val="000000"/>
          <w:sz w:val="28"/>
          <w:szCs w:val="28"/>
        </w:rPr>
        <w:t>九十</w:t>
      </w:r>
      <w:r w:rsidRPr="001F510D">
        <w:rPr>
          <w:rFonts w:ascii="標楷體" w:eastAsia="標楷體" w:hAnsi="標楷體"/>
          <w:color w:val="000000"/>
          <w:sz w:val="28"/>
          <w:szCs w:val="28"/>
        </w:rPr>
        <w:t>分以上</w:t>
      </w:r>
      <w:r w:rsidRPr="001F510D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D7A29" w:rsidRPr="001F510D" w:rsidRDefault="00AD7A29" w:rsidP="00AD7A29">
      <w:pPr>
        <w:spacing w:line="460" w:lineRule="exact"/>
        <w:ind w:left="630" w:hangingChars="225" w:hanging="63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（</w:t>
      </w:r>
      <w:r w:rsidRPr="001F510D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Pr="001F510D">
        <w:rPr>
          <w:rFonts w:ascii="標楷體" w:eastAsia="標楷體" w:hAnsi="標楷體"/>
          <w:color w:val="000000"/>
          <w:sz w:val="28"/>
          <w:szCs w:val="28"/>
        </w:rPr>
        <w:t>甲等：</w:t>
      </w:r>
      <w:r w:rsidRPr="001F510D">
        <w:rPr>
          <w:rFonts w:ascii="標楷體" w:eastAsia="標楷體" w:hAnsi="標楷體" w:hint="eastAsia"/>
          <w:color w:val="000000"/>
          <w:sz w:val="28"/>
          <w:szCs w:val="28"/>
        </w:rPr>
        <w:t>八十</w:t>
      </w:r>
      <w:r w:rsidRPr="001F510D">
        <w:rPr>
          <w:rFonts w:ascii="標楷體" w:eastAsia="標楷體" w:hAnsi="標楷體"/>
          <w:color w:val="000000"/>
          <w:sz w:val="28"/>
          <w:szCs w:val="28"/>
        </w:rPr>
        <w:t>分以上，未滿</w:t>
      </w:r>
      <w:r w:rsidRPr="001F510D">
        <w:rPr>
          <w:rFonts w:ascii="標楷體" w:eastAsia="標楷體" w:hAnsi="標楷體" w:hint="eastAsia"/>
          <w:color w:val="000000"/>
          <w:sz w:val="28"/>
          <w:szCs w:val="28"/>
        </w:rPr>
        <w:t>九十</w:t>
      </w:r>
      <w:r w:rsidRPr="001F510D">
        <w:rPr>
          <w:rFonts w:ascii="標楷體" w:eastAsia="標楷體" w:hAnsi="標楷體"/>
          <w:color w:val="000000"/>
          <w:sz w:val="28"/>
          <w:szCs w:val="28"/>
        </w:rPr>
        <w:t>分</w:t>
      </w:r>
      <w:r w:rsidRPr="001F510D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D7A29" w:rsidRPr="001F510D" w:rsidRDefault="00AD7A29" w:rsidP="00AD7A29">
      <w:pPr>
        <w:spacing w:line="460" w:lineRule="exact"/>
        <w:ind w:left="630" w:hangingChars="225" w:hanging="63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（</w:t>
      </w:r>
      <w:r w:rsidRPr="001F510D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Pr="001F510D">
        <w:rPr>
          <w:rFonts w:ascii="標楷體" w:eastAsia="標楷體" w:hAnsi="標楷體"/>
          <w:color w:val="000000"/>
          <w:sz w:val="28"/>
          <w:szCs w:val="28"/>
        </w:rPr>
        <w:t>乙等：</w:t>
      </w:r>
      <w:r w:rsidRPr="001F510D">
        <w:rPr>
          <w:rFonts w:ascii="標楷體" w:eastAsia="標楷體" w:hAnsi="標楷體" w:hint="eastAsia"/>
          <w:color w:val="000000"/>
          <w:sz w:val="28"/>
          <w:szCs w:val="28"/>
        </w:rPr>
        <w:t>七十</w:t>
      </w:r>
      <w:r w:rsidRPr="001F510D">
        <w:rPr>
          <w:rFonts w:ascii="標楷體" w:eastAsia="標楷體" w:hAnsi="標楷體"/>
          <w:color w:val="000000"/>
          <w:sz w:val="28"/>
          <w:szCs w:val="28"/>
        </w:rPr>
        <w:t>分以上，未滿</w:t>
      </w:r>
      <w:r w:rsidRPr="001F510D">
        <w:rPr>
          <w:rFonts w:ascii="標楷體" w:eastAsia="標楷體" w:hAnsi="標楷體" w:hint="eastAsia"/>
          <w:color w:val="000000"/>
          <w:sz w:val="28"/>
          <w:szCs w:val="28"/>
        </w:rPr>
        <w:t>八十</w:t>
      </w:r>
      <w:r w:rsidRPr="001F510D">
        <w:rPr>
          <w:rFonts w:ascii="標楷體" w:eastAsia="標楷體" w:hAnsi="標楷體"/>
          <w:color w:val="000000"/>
          <w:sz w:val="28"/>
          <w:szCs w:val="28"/>
        </w:rPr>
        <w:t>分</w:t>
      </w:r>
      <w:r w:rsidRPr="001F510D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D7A29" w:rsidRPr="001F510D" w:rsidRDefault="00AD7A29" w:rsidP="00AD7A29">
      <w:pPr>
        <w:spacing w:line="460" w:lineRule="exact"/>
        <w:ind w:left="630" w:hangingChars="225" w:hanging="63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（</w:t>
      </w:r>
      <w:r w:rsidRPr="001F510D"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Pr="001F510D">
        <w:rPr>
          <w:rFonts w:ascii="標楷體" w:eastAsia="標楷體" w:hAnsi="標楷體"/>
          <w:color w:val="000000"/>
          <w:sz w:val="28"/>
          <w:szCs w:val="28"/>
        </w:rPr>
        <w:t>丙等：</w:t>
      </w:r>
      <w:r w:rsidRPr="001F510D">
        <w:rPr>
          <w:rFonts w:ascii="標楷體" w:eastAsia="標楷體" w:hAnsi="標楷體" w:hint="eastAsia"/>
          <w:color w:val="000000"/>
          <w:sz w:val="28"/>
          <w:szCs w:val="28"/>
        </w:rPr>
        <w:t>六十</w:t>
      </w:r>
      <w:r w:rsidRPr="001F510D">
        <w:rPr>
          <w:rFonts w:ascii="標楷體" w:eastAsia="標楷體" w:hAnsi="標楷體"/>
          <w:color w:val="000000"/>
          <w:sz w:val="28"/>
          <w:szCs w:val="28"/>
        </w:rPr>
        <w:t>分以上，未滿</w:t>
      </w:r>
      <w:r w:rsidRPr="001F510D">
        <w:rPr>
          <w:rFonts w:ascii="標楷體" w:eastAsia="標楷體" w:hAnsi="標楷體" w:hint="eastAsia"/>
          <w:color w:val="000000"/>
          <w:sz w:val="28"/>
          <w:szCs w:val="28"/>
        </w:rPr>
        <w:t>七十</w:t>
      </w:r>
      <w:r w:rsidRPr="001F510D">
        <w:rPr>
          <w:rFonts w:ascii="標楷體" w:eastAsia="標楷體" w:hAnsi="標楷體"/>
          <w:color w:val="000000"/>
          <w:sz w:val="28"/>
          <w:szCs w:val="28"/>
        </w:rPr>
        <w:t>分</w:t>
      </w:r>
      <w:r w:rsidRPr="001F510D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D7A29" w:rsidRPr="001F510D" w:rsidRDefault="00AD7A29" w:rsidP="00AD7A29">
      <w:pPr>
        <w:spacing w:line="460" w:lineRule="exact"/>
        <w:ind w:left="630" w:hangingChars="225" w:hanging="63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（</w:t>
      </w:r>
      <w:r w:rsidRPr="001F510D"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Pr="001F510D">
        <w:rPr>
          <w:rFonts w:ascii="標楷體" w:eastAsia="標楷體" w:hAnsi="標楷體"/>
          <w:color w:val="000000"/>
          <w:sz w:val="28"/>
          <w:szCs w:val="28"/>
        </w:rPr>
        <w:t>丁等：未滿</w:t>
      </w:r>
      <w:r w:rsidRPr="001F510D">
        <w:rPr>
          <w:rFonts w:ascii="標楷體" w:eastAsia="標楷體" w:hAnsi="標楷體" w:hint="eastAsia"/>
          <w:color w:val="000000"/>
          <w:sz w:val="28"/>
          <w:szCs w:val="28"/>
        </w:rPr>
        <w:t>六十</w:t>
      </w:r>
      <w:r w:rsidRPr="001F510D">
        <w:rPr>
          <w:rFonts w:ascii="標楷體" w:eastAsia="標楷體" w:hAnsi="標楷體"/>
          <w:color w:val="000000"/>
          <w:sz w:val="28"/>
          <w:szCs w:val="28"/>
        </w:rPr>
        <w:t>分</w:t>
      </w:r>
      <w:r w:rsidRPr="001F510D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D7A29" w:rsidRPr="001F510D" w:rsidRDefault="00AD7A29" w:rsidP="00AD7A29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八</w:t>
      </w:r>
      <w:r w:rsidRPr="001F510D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1F510D">
        <w:rPr>
          <w:rFonts w:ascii="標楷體" w:eastAsia="標楷體" w:hAnsi="標楷體"/>
          <w:color w:val="000000"/>
          <w:sz w:val="28"/>
          <w:szCs w:val="28"/>
        </w:rPr>
        <w:t>評鑑結果之獎懲</w:t>
      </w:r>
      <w:r w:rsidRPr="001F510D">
        <w:rPr>
          <w:rFonts w:ascii="標楷體" w:eastAsia="標楷體" w:hAnsi="標楷體" w:hint="eastAsia"/>
          <w:color w:val="000000"/>
          <w:sz w:val="28"/>
          <w:szCs w:val="28"/>
        </w:rPr>
        <w:t>，依下列規定辦理：</w:t>
      </w:r>
    </w:p>
    <w:p w:rsidR="00AD7A29" w:rsidRPr="001F510D" w:rsidRDefault="00AD7A29" w:rsidP="00AD7A29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（</w:t>
      </w:r>
      <w:r w:rsidRPr="001F510D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Pr="001F510D">
        <w:rPr>
          <w:rFonts w:ascii="標楷體" w:eastAsia="標楷體" w:hAnsi="標楷體"/>
          <w:color w:val="000000"/>
          <w:sz w:val="28"/>
          <w:szCs w:val="28"/>
        </w:rPr>
        <w:t>評鑑成績</w:t>
      </w:r>
      <w:r w:rsidRPr="001F510D">
        <w:rPr>
          <w:rFonts w:ascii="標楷體" w:eastAsia="標楷體" w:hAnsi="標楷體" w:hint="eastAsia"/>
          <w:color w:val="000000"/>
          <w:sz w:val="28"/>
          <w:szCs w:val="28"/>
        </w:rPr>
        <w:t>得</w:t>
      </w:r>
      <w:r w:rsidRPr="001F510D">
        <w:rPr>
          <w:rFonts w:ascii="標楷體" w:eastAsia="標楷體" w:hAnsi="標楷體"/>
          <w:color w:val="000000"/>
          <w:sz w:val="28"/>
          <w:szCs w:val="28"/>
        </w:rPr>
        <w:t>納入路權審議：以業者路線</w:t>
      </w:r>
      <w:r w:rsidRPr="001F510D">
        <w:rPr>
          <w:rFonts w:ascii="標楷體" w:eastAsia="標楷體" w:hAnsi="標楷體" w:hint="eastAsia"/>
          <w:color w:val="000000"/>
          <w:sz w:val="28"/>
          <w:szCs w:val="28"/>
        </w:rPr>
        <w:t>別</w:t>
      </w:r>
      <w:r w:rsidRPr="001F510D">
        <w:rPr>
          <w:rFonts w:ascii="標楷體" w:eastAsia="標楷體" w:hAnsi="標楷體"/>
          <w:color w:val="000000"/>
          <w:sz w:val="28"/>
          <w:szCs w:val="28"/>
        </w:rPr>
        <w:t>成績等第佐以公司</w:t>
      </w:r>
      <w:r w:rsidRPr="001F510D">
        <w:rPr>
          <w:rFonts w:ascii="標楷體" w:eastAsia="標楷體" w:hAnsi="標楷體" w:hint="eastAsia"/>
          <w:color w:val="000000"/>
          <w:sz w:val="28"/>
          <w:szCs w:val="28"/>
        </w:rPr>
        <w:t>別</w:t>
      </w:r>
      <w:r w:rsidRPr="001F510D">
        <w:rPr>
          <w:rFonts w:ascii="標楷體" w:eastAsia="標楷體" w:hAnsi="標楷體"/>
          <w:color w:val="000000"/>
          <w:sz w:val="28"/>
          <w:szCs w:val="28"/>
        </w:rPr>
        <w:t>成績</w:t>
      </w:r>
      <w:r w:rsidRPr="001F510D">
        <w:rPr>
          <w:rFonts w:ascii="標楷體" w:eastAsia="標楷體" w:hAnsi="標楷體" w:hint="eastAsia"/>
          <w:color w:val="000000"/>
          <w:sz w:val="28"/>
          <w:szCs w:val="28"/>
        </w:rPr>
        <w:t>等第作為</w:t>
      </w:r>
      <w:r w:rsidRPr="001F510D">
        <w:rPr>
          <w:rFonts w:ascii="標楷體" w:eastAsia="標楷體" w:hAnsi="標楷體"/>
          <w:color w:val="000000"/>
          <w:sz w:val="28"/>
          <w:szCs w:val="28"/>
        </w:rPr>
        <w:t>續營之</w:t>
      </w:r>
      <w:r w:rsidRPr="001F510D">
        <w:rPr>
          <w:rFonts w:ascii="標楷體" w:eastAsia="標楷體" w:hAnsi="標楷體" w:hint="eastAsia"/>
          <w:color w:val="000000"/>
          <w:sz w:val="28"/>
          <w:szCs w:val="28"/>
        </w:rPr>
        <w:t>參考</w:t>
      </w:r>
      <w:r w:rsidRPr="001F510D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AD7A29" w:rsidRPr="001F510D" w:rsidRDefault="00AD7A29" w:rsidP="00AD7A29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（</w:t>
      </w:r>
      <w:r w:rsidRPr="001F510D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Pr="001F510D">
        <w:rPr>
          <w:rFonts w:ascii="標楷體" w:eastAsia="標楷體" w:hAnsi="標楷體"/>
          <w:color w:val="000000"/>
          <w:sz w:val="28"/>
          <w:szCs w:val="28"/>
        </w:rPr>
        <w:t>評鑑成績</w:t>
      </w:r>
      <w:r w:rsidRPr="001F510D">
        <w:rPr>
          <w:rFonts w:ascii="標楷體" w:eastAsia="標楷體" w:hAnsi="標楷體" w:hint="eastAsia"/>
          <w:color w:val="000000"/>
          <w:sz w:val="28"/>
          <w:szCs w:val="28"/>
        </w:rPr>
        <w:t>得</w:t>
      </w:r>
      <w:r w:rsidRPr="001F510D">
        <w:rPr>
          <w:rFonts w:ascii="標楷體" w:eastAsia="標楷體" w:hAnsi="標楷體"/>
          <w:color w:val="000000"/>
          <w:sz w:val="28"/>
          <w:szCs w:val="28"/>
        </w:rPr>
        <w:t>納入虧損補貼款核撥基準：將路線</w:t>
      </w:r>
      <w:r w:rsidRPr="001F510D">
        <w:rPr>
          <w:rFonts w:ascii="標楷體" w:eastAsia="標楷體" w:hAnsi="標楷體" w:hint="eastAsia"/>
          <w:color w:val="000000"/>
          <w:sz w:val="28"/>
          <w:szCs w:val="28"/>
        </w:rPr>
        <w:t>別成績等第</w:t>
      </w:r>
      <w:r w:rsidRPr="001F510D">
        <w:rPr>
          <w:rFonts w:ascii="標楷體" w:eastAsia="標楷體" w:hAnsi="標楷體"/>
          <w:color w:val="000000"/>
          <w:sz w:val="28"/>
          <w:szCs w:val="28"/>
        </w:rPr>
        <w:t>及公司</w:t>
      </w:r>
      <w:r w:rsidRPr="001F510D">
        <w:rPr>
          <w:rFonts w:ascii="標楷體" w:eastAsia="標楷體" w:hAnsi="標楷體" w:hint="eastAsia"/>
          <w:color w:val="000000"/>
          <w:sz w:val="28"/>
          <w:szCs w:val="28"/>
        </w:rPr>
        <w:t>別</w:t>
      </w:r>
      <w:r w:rsidRPr="001F510D">
        <w:rPr>
          <w:rFonts w:ascii="標楷體" w:eastAsia="標楷體" w:hAnsi="標楷體"/>
          <w:color w:val="000000"/>
          <w:sz w:val="28"/>
          <w:szCs w:val="28"/>
        </w:rPr>
        <w:t>成績</w:t>
      </w:r>
      <w:r w:rsidRPr="001F510D">
        <w:rPr>
          <w:rFonts w:ascii="標楷體" w:eastAsia="標楷體" w:hAnsi="標楷體" w:hint="eastAsia"/>
          <w:color w:val="000000"/>
          <w:sz w:val="28"/>
          <w:szCs w:val="28"/>
        </w:rPr>
        <w:t>等第，</w:t>
      </w:r>
      <w:r w:rsidRPr="001F510D">
        <w:rPr>
          <w:rFonts w:ascii="標楷體" w:eastAsia="標楷體" w:hAnsi="標楷體"/>
          <w:color w:val="000000"/>
          <w:sz w:val="28"/>
          <w:szCs w:val="28"/>
        </w:rPr>
        <w:t>對照路線成績因子及公司成績因子進行虧損補貼金額之計算。</w:t>
      </w:r>
    </w:p>
    <w:p w:rsidR="00D26FA6" w:rsidRPr="00AD7A29" w:rsidRDefault="00D26FA6" w:rsidP="00AD7A29"/>
    <w:sectPr w:rsidR="00D26FA6" w:rsidRPr="00AD7A2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315"/>
    <w:rsid w:val="00350B27"/>
    <w:rsid w:val="00AD7A29"/>
    <w:rsid w:val="00B53315"/>
    <w:rsid w:val="00D26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8402F2-2A2B-4046-9186-D62185DF9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7A29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141</Words>
  <Characters>807</Characters>
  <Application>Microsoft Office Word</Application>
  <DocSecurity>0</DocSecurity>
  <Lines>6</Lines>
  <Paragraphs>1</Paragraphs>
  <ScaleCrop>false</ScaleCrop>
  <Company/>
  <LinksUpToDate>false</LinksUpToDate>
  <CharactersWithSpaces>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丁寶富</dc:creator>
  <cp:keywords/>
  <dc:description/>
  <cp:lastModifiedBy>陳嘉胤</cp:lastModifiedBy>
  <cp:revision>2</cp:revision>
  <dcterms:created xsi:type="dcterms:W3CDTF">2019-02-23T05:59:00Z</dcterms:created>
  <dcterms:modified xsi:type="dcterms:W3CDTF">2019-02-23T05:59:00Z</dcterms:modified>
</cp:coreProperties>
</file>