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D1" w:rsidRDefault="0099529C">
      <w:pPr>
        <w:rPr>
          <w:rFonts w:ascii="標楷體" w:eastAsia="標楷體" w:hAnsi="標楷體"/>
          <w:sz w:val="40"/>
          <w:szCs w:val="40"/>
        </w:rPr>
      </w:pPr>
      <w:bookmarkStart w:id="0" w:name="_GoBack"/>
      <w:r w:rsidRPr="0099529C">
        <w:rPr>
          <w:rFonts w:ascii="標楷體" w:eastAsia="標楷體" w:hAnsi="標楷體" w:hint="eastAsia"/>
          <w:sz w:val="40"/>
          <w:szCs w:val="40"/>
        </w:rPr>
        <w:t>臺中市臺中都會區大眾捷運系統開發所需土地協議價購優惠辦法</w:t>
      </w:r>
      <w:r>
        <w:rPr>
          <w:rFonts w:ascii="標楷體" w:eastAsia="標楷體" w:hAnsi="標楷體" w:hint="eastAsia"/>
          <w:sz w:val="40"/>
          <w:szCs w:val="40"/>
        </w:rPr>
        <w:t>第三條、第四條修正草案總說明</w:t>
      </w:r>
    </w:p>
    <w:bookmarkEnd w:id="0"/>
    <w:p w:rsidR="0099529C" w:rsidRDefault="00291CA2"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1F4B2A">
        <w:rPr>
          <w:rFonts w:ascii="標楷體" w:eastAsia="標楷體" w:hAnsi="標楷體" w:hint="eastAsia"/>
          <w:sz w:val="28"/>
          <w:szCs w:val="28"/>
        </w:rPr>
        <w:t>臺中市政府</w:t>
      </w:r>
      <w:r w:rsidR="00B30725">
        <w:rPr>
          <w:rFonts w:ascii="標楷體" w:eastAsia="標楷體" w:hAnsi="標楷體" w:hint="eastAsia"/>
          <w:sz w:val="28"/>
          <w:szCs w:val="28"/>
        </w:rPr>
        <w:t>(以下簡稱本府)</w:t>
      </w:r>
      <w:r w:rsidR="001F4B2A">
        <w:rPr>
          <w:rFonts w:ascii="標楷體" w:eastAsia="標楷體" w:hAnsi="標楷體" w:hint="eastAsia"/>
          <w:sz w:val="28"/>
          <w:szCs w:val="28"/>
        </w:rPr>
        <w:t>為辦理臺中都會區大眾捷運系統土地開發用地協議價購作業，依大眾捷運法第七條第四項規定，於100年7月28日訂定發布</w:t>
      </w:r>
      <w:r w:rsidR="00B30725" w:rsidRPr="00B30725">
        <w:rPr>
          <w:rFonts w:ascii="標楷體" w:eastAsia="標楷體" w:hAnsi="標楷體" w:hint="eastAsia"/>
          <w:sz w:val="28"/>
          <w:szCs w:val="28"/>
        </w:rPr>
        <w:t>臺中市臺中都會區大眾捷運系統開發所需土地協議價購優惠辦法</w:t>
      </w:r>
      <w:r w:rsidR="000A434E">
        <w:rPr>
          <w:rFonts w:ascii="標楷體" w:eastAsia="標楷體" w:hAnsi="標楷體" w:hint="eastAsia"/>
          <w:sz w:val="28"/>
          <w:szCs w:val="28"/>
        </w:rPr>
        <w:t>(以下簡稱本辦法)</w:t>
      </w:r>
      <w:r w:rsidR="001F4B2A">
        <w:rPr>
          <w:rFonts w:ascii="標楷體" w:eastAsia="標楷體" w:hAnsi="標楷體" w:hint="eastAsia"/>
          <w:sz w:val="28"/>
          <w:szCs w:val="28"/>
        </w:rPr>
        <w:t>，</w:t>
      </w:r>
      <w:r w:rsidR="000A434E">
        <w:rPr>
          <w:rFonts w:ascii="標楷體" w:eastAsia="標楷體" w:hAnsi="標楷體" w:hint="eastAsia"/>
          <w:sz w:val="28"/>
          <w:szCs w:val="28"/>
        </w:rPr>
        <w:t>共計十二條，</w:t>
      </w:r>
      <w:r w:rsidR="001F4B2A">
        <w:rPr>
          <w:rFonts w:ascii="標楷體" w:eastAsia="標楷體" w:hAnsi="標楷體" w:hint="eastAsia"/>
          <w:sz w:val="28"/>
          <w:szCs w:val="28"/>
        </w:rPr>
        <w:t>102年7月29日修正發布</w:t>
      </w:r>
      <w:r w:rsidR="00CB3CF6">
        <w:rPr>
          <w:rFonts w:ascii="標楷體" w:eastAsia="標楷體" w:hAnsi="標楷體" w:hint="eastAsia"/>
          <w:sz w:val="28"/>
          <w:szCs w:val="28"/>
        </w:rPr>
        <w:t>本辦法</w:t>
      </w:r>
      <w:r w:rsidR="00B30725">
        <w:rPr>
          <w:rFonts w:ascii="標楷體" w:eastAsia="標楷體" w:hAnsi="標楷體" w:hint="eastAsia"/>
          <w:sz w:val="28"/>
          <w:szCs w:val="28"/>
        </w:rPr>
        <w:t>第三條、第四條、第八條條文。</w:t>
      </w:r>
    </w:p>
    <w:p w:rsidR="00545B6F" w:rsidRDefault="00291CA2" w:rsidP="006D777B">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D410FD">
        <w:rPr>
          <w:rFonts w:ascii="標楷體" w:eastAsia="標楷體" w:hAnsi="標楷體" w:hint="eastAsia"/>
          <w:sz w:val="28"/>
          <w:szCs w:val="28"/>
        </w:rPr>
        <w:t>大眾捷運法第七條第四項有關大眾捷運系統</w:t>
      </w:r>
      <w:r w:rsidR="00D410FD" w:rsidRPr="00D410FD">
        <w:rPr>
          <w:rFonts w:ascii="標楷體" w:eastAsia="標楷體" w:hAnsi="標楷體" w:hint="eastAsia"/>
          <w:sz w:val="28"/>
          <w:szCs w:val="28"/>
        </w:rPr>
        <w:t>毗鄰地區辦理開發所需之土地</w:t>
      </w:r>
      <w:r w:rsidR="003C0C34">
        <w:rPr>
          <w:rFonts w:ascii="標楷體" w:eastAsia="標楷體" w:hAnsi="標楷體" w:hint="eastAsia"/>
          <w:sz w:val="28"/>
          <w:szCs w:val="28"/>
        </w:rPr>
        <w:t>，</w:t>
      </w:r>
      <w:r w:rsidR="00D410FD">
        <w:rPr>
          <w:rFonts w:ascii="標楷體" w:eastAsia="標楷體" w:hAnsi="標楷體" w:hint="eastAsia"/>
          <w:sz w:val="28"/>
          <w:szCs w:val="28"/>
        </w:rPr>
        <w:t>得由主管機關依法報請徵收</w:t>
      </w:r>
      <w:r w:rsidR="00D41145">
        <w:rPr>
          <w:rFonts w:ascii="標楷體" w:eastAsia="標楷體" w:hAnsi="標楷體" w:hint="eastAsia"/>
          <w:sz w:val="28"/>
          <w:szCs w:val="28"/>
        </w:rPr>
        <w:t>部分</w:t>
      </w:r>
      <w:r w:rsidR="00D410FD">
        <w:rPr>
          <w:rFonts w:ascii="標楷體" w:eastAsia="標楷體" w:hAnsi="標楷體" w:hint="eastAsia"/>
          <w:sz w:val="28"/>
          <w:szCs w:val="28"/>
        </w:rPr>
        <w:t>，經</w:t>
      </w:r>
      <w:r w:rsidR="00D410FD" w:rsidRPr="00D410FD">
        <w:rPr>
          <w:rFonts w:ascii="標楷體" w:eastAsia="標楷體" w:hAnsi="標楷體" w:hint="eastAsia"/>
          <w:sz w:val="28"/>
          <w:szCs w:val="28"/>
        </w:rPr>
        <w:t>104年9月25日大法官釋字第732號解釋</w:t>
      </w:r>
      <w:r w:rsidR="00D410FD">
        <w:rPr>
          <w:rFonts w:ascii="標楷體" w:eastAsia="標楷體" w:hAnsi="標楷體" w:hint="eastAsia"/>
          <w:sz w:val="28"/>
          <w:szCs w:val="28"/>
        </w:rPr>
        <w:t>與憲法保障人民財產權及居住自由之意旨有違，應自</w:t>
      </w:r>
      <w:r w:rsidR="00D410FD" w:rsidRPr="00D410FD">
        <w:rPr>
          <w:rFonts w:ascii="標楷體" w:eastAsia="標楷體" w:hAnsi="標楷體" w:hint="eastAsia"/>
          <w:sz w:val="28"/>
          <w:szCs w:val="28"/>
        </w:rPr>
        <w:t>解釋公布之日起不予適用</w:t>
      </w:r>
      <w:r w:rsidR="003C0C34">
        <w:rPr>
          <w:rFonts w:ascii="標楷體" w:eastAsia="標楷體" w:hAnsi="標楷體" w:hint="eastAsia"/>
          <w:sz w:val="28"/>
          <w:szCs w:val="28"/>
        </w:rPr>
        <w:t>；</w:t>
      </w:r>
      <w:r w:rsidR="00D41145">
        <w:rPr>
          <w:rFonts w:ascii="標楷體" w:eastAsia="標楷體" w:hAnsi="標楷體" w:hint="eastAsia"/>
          <w:sz w:val="28"/>
          <w:szCs w:val="28"/>
        </w:rPr>
        <w:t>另</w:t>
      </w:r>
      <w:r w:rsidR="003C0C34">
        <w:rPr>
          <w:rFonts w:ascii="標楷體" w:eastAsia="標楷體" w:hAnsi="標楷體" w:hint="eastAsia"/>
          <w:sz w:val="28"/>
          <w:szCs w:val="28"/>
        </w:rPr>
        <w:t>依</w:t>
      </w:r>
      <w:r w:rsidR="003C0C34" w:rsidRPr="003C0C34">
        <w:rPr>
          <w:rFonts w:ascii="標楷體" w:eastAsia="標楷體" w:hAnsi="標楷體" w:hint="eastAsia"/>
          <w:sz w:val="28"/>
          <w:szCs w:val="28"/>
        </w:rPr>
        <w:t>大眾捷運法第六條所徵收大眾捷運系統需用之土地，</w:t>
      </w:r>
      <w:r w:rsidR="00812FCE">
        <w:rPr>
          <w:rFonts w:ascii="標楷體" w:eastAsia="標楷體" w:hAnsi="標楷體" w:hint="eastAsia"/>
          <w:sz w:val="28"/>
          <w:szCs w:val="28"/>
        </w:rPr>
        <w:t>亦</w:t>
      </w:r>
      <w:r w:rsidR="003C0C34">
        <w:rPr>
          <w:rFonts w:ascii="標楷體" w:eastAsia="標楷體" w:hAnsi="標楷體" w:hint="eastAsia"/>
          <w:sz w:val="28"/>
          <w:szCs w:val="28"/>
        </w:rPr>
        <w:t>經</w:t>
      </w:r>
      <w:r w:rsidR="003C0C34" w:rsidRPr="003C0C34">
        <w:rPr>
          <w:rFonts w:ascii="標楷體" w:eastAsia="標楷體" w:hAnsi="標楷體" w:hint="eastAsia"/>
          <w:sz w:val="28"/>
          <w:szCs w:val="28"/>
        </w:rPr>
        <w:t>105年12月30日大法官釋字第743號解釋不得用於同法第七條第一項規定核定辦理之聯合開發。</w:t>
      </w:r>
    </w:p>
    <w:p w:rsidR="003D6B3B" w:rsidRDefault="00545B6F"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F16FD6">
        <w:rPr>
          <w:rFonts w:ascii="標楷體" w:eastAsia="標楷體" w:hAnsi="標楷體" w:hint="eastAsia"/>
          <w:sz w:val="28"/>
          <w:szCs w:val="28"/>
        </w:rPr>
        <w:t>前述大法官解釋意旨已揭示</w:t>
      </w:r>
      <w:r w:rsidR="006D777B">
        <w:rPr>
          <w:rFonts w:ascii="標楷體" w:eastAsia="標楷體" w:hAnsi="標楷體" w:hint="eastAsia"/>
          <w:sz w:val="28"/>
          <w:szCs w:val="28"/>
        </w:rPr>
        <w:t>不得以徵收方式取得</w:t>
      </w:r>
      <w:r w:rsidR="006D777B" w:rsidRPr="003C0C34">
        <w:rPr>
          <w:rFonts w:ascii="標楷體" w:eastAsia="標楷體" w:hAnsi="標楷體" w:hint="eastAsia"/>
          <w:sz w:val="28"/>
          <w:szCs w:val="28"/>
        </w:rPr>
        <w:t>大眾捷運系統</w:t>
      </w:r>
      <w:r w:rsidR="006D777B">
        <w:rPr>
          <w:rFonts w:ascii="標楷體" w:eastAsia="標楷體" w:hAnsi="標楷體" w:hint="eastAsia"/>
          <w:sz w:val="28"/>
          <w:szCs w:val="28"/>
        </w:rPr>
        <w:t>及其毗鄰</w:t>
      </w:r>
      <w:r w:rsidR="00CF7845">
        <w:rPr>
          <w:rFonts w:ascii="標楷體" w:eastAsia="標楷體" w:hAnsi="標楷體" w:hint="eastAsia"/>
          <w:sz w:val="28"/>
          <w:szCs w:val="28"/>
        </w:rPr>
        <w:t>地區</w:t>
      </w:r>
      <w:r w:rsidR="006D777B" w:rsidRPr="003C0C34">
        <w:rPr>
          <w:rFonts w:ascii="標楷體" w:eastAsia="標楷體" w:hAnsi="標楷體" w:hint="eastAsia"/>
          <w:sz w:val="28"/>
          <w:szCs w:val="28"/>
        </w:rPr>
        <w:t>土地</w:t>
      </w:r>
      <w:r w:rsidR="006D777B">
        <w:rPr>
          <w:rFonts w:ascii="標楷體" w:eastAsia="標楷體" w:hAnsi="標楷體" w:hint="eastAsia"/>
          <w:sz w:val="28"/>
          <w:szCs w:val="28"/>
        </w:rPr>
        <w:t>辦理開發，</w:t>
      </w:r>
      <w:r>
        <w:rPr>
          <w:rFonts w:ascii="標楷體" w:eastAsia="標楷體" w:hAnsi="標楷體" w:hint="eastAsia"/>
          <w:sz w:val="28"/>
          <w:szCs w:val="28"/>
        </w:rPr>
        <w:t>爰此，</w:t>
      </w:r>
      <w:r w:rsidR="006D777B">
        <w:rPr>
          <w:rFonts w:ascii="標楷體" w:eastAsia="標楷體" w:hAnsi="標楷體" w:hint="eastAsia"/>
          <w:sz w:val="28"/>
          <w:szCs w:val="28"/>
        </w:rPr>
        <w:t>除</w:t>
      </w:r>
      <w:r w:rsidR="006D777B" w:rsidRPr="006D777B">
        <w:rPr>
          <w:rFonts w:ascii="標楷體" w:eastAsia="標楷體" w:hAnsi="標楷體" w:hint="eastAsia"/>
          <w:sz w:val="28"/>
          <w:szCs w:val="28"/>
        </w:rPr>
        <w:t>依有償撥用、巿地重劃或區段徵收方式取得</w:t>
      </w:r>
      <w:r>
        <w:rPr>
          <w:rFonts w:ascii="標楷體" w:eastAsia="標楷體" w:hAnsi="標楷體" w:hint="eastAsia"/>
          <w:sz w:val="28"/>
          <w:szCs w:val="28"/>
        </w:rPr>
        <w:t>土地</w:t>
      </w:r>
      <w:r w:rsidR="006D777B">
        <w:rPr>
          <w:rFonts w:ascii="標楷體" w:eastAsia="標楷體" w:hAnsi="標楷體" w:hint="eastAsia"/>
          <w:sz w:val="28"/>
          <w:szCs w:val="28"/>
        </w:rPr>
        <w:t>開發所需用地外，</w:t>
      </w:r>
      <w:r w:rsidR="00CF7845">
        <w:rPr>
          <w:rFonts w:ascii="標楷體" w:eastAsia="標楷體" w:hAnsi="標楷體" w:hint="eastAsia"/>
          <w:sz w:val="28"/>
          <w:szCs w:val="28"/>
        </w:rPr>
        <w:t>協議價購</w:t>
      </w:r>
      <w:r>
        <w:rPr>
          <w:rFonts w:ascii="標楷體" w:eastAsia="標楷體" w:hAnsi="標楷體" w:hint="eastAsia"/>
          <w:sz w:val="28"/>
          <w:szCs w:val="28"/>
        </w:rPr>
        <w:t>為僅存</w:t>
      </w:r>
      <w:r w:rsidR="00CF7845">
        <w:rPr>
          <w:rFonts w:ascii="標楷體" w:eastAsia="標楷體" w:hAnsi="標楷體" w:hint="eastAsia"/>
          <w:sz w:val="28"/>
          <w:szCs w:val="28"/>
        </w:rPr>
        <w:t>可採行之手段</w:t>
      </w:r>
      <w:r>
        <w:rPr>
          <w:rFonts w:ascii="標楷體" w:eastAsia="標楷體" w:hAnsi="標楷體" w:hint="eastAsia"/>
          <w:sz w:val="28"/>
          <w:szCs w:val="28"/>
        </w:rPr>
        <w:t>，</w:t>
      </w:r>
      <w:r w:rsidR="00812FCE">
        <w:rPr>
          <w:rFonts w:ascii="標楷體" w:eastAsia="標楷體" w:hAnsi="標楷體" w:hint="eastAsia"/>
          <w:sz w:val="28"/>
          <w:szCs w:val="28"/>
        </w:rPr>
        <w:t>協議不成勢須放棄辦理土地開發，</w:t>
      </w:r>
      <w:r>
        <w:rPr>
          <w:rFonts w:ascii="標楷體" w:eastAsia="標楷體" w:hAnsi="標楷體" w:hint="eastAsia"/>
          <w:sz w:val="28"/>
          <w:szCs w:val="28"/>
        </w:rPr>
        <w:t>現行</w:t>
      </w:r>
      <w:r w:rsidRPr="00545B6F">
        <w:rPr>
          <w:rFonts w:ascii="標楷體" w:eastAsia="標楷體" w:hAnsi="標楷體" w:hint="eastAsia"/>
          <w:sz w:val="28"/>
          <w:szCs w:val="28"/>
        </w:rPr>
        <w:t>臺中市臺中都會區大眾捷運系統開發所需土地協議價購優惠辦法</w:t>
      </w:r>
      <w:r w:rsidR="003D6B3B">
        <w:rPr>
          <w:rFonts w:ascii="標楷體" w:eastAsia="標楷體" w:hAnsi="標楷體" w:hint="eastAsia"/>
          <w:sz w:val="28"/>
          <w:szCs w:val="28"/>
        </w:rPr>
        <w:t>亦須</w:t>
      </w:r>
      <w:r w:rsidR="009A525B">
        <w:rPr>
          <w:rFonts w:ascii="標楷體" w:eastAsia="標楷體" w:hAnsi="標楷體" w:hint="eastAsia"/>
          <w:sz w:val="28"/>
          <w:szCs w:val="28"/>
        </w:rPr>
        <w:t>配合進行檢討修正</w:t>
      </w:r>
      <w:r w:rsidR="00E929EF">
        <w:rPr>
          <w:rFonts w:ascii="標楷體" w:eastAsia="標楷體" w:hAnsi="標楷體" w:hint="eastAsia"/>
          <w:sz w:val="28"/>
          <w:szCs w:val="28"/>
        </w:rPr>
        <w:t>以</w:t>
      </w:r>
      <w:r w:rsidR="009A525B">
        <w:rPr>
          <w:rFonts w:ascii="標楷體" w:eastAsia="標楷體" w:hAnsi="標楷體" w:hint="eastAsia"/>
          <w:sz w:val="28"/>
          <w:szCs w:val="28"/>
        </w:rPr>
        <w:t>因應</w:t>
      </w:r>
      <w:r w:rsidR="003D6B3B">
        <w:rPr>
          <w:rFonts w:ascii="標楷體" w:eastAsia="標楷體" w:hAnsi="標楷體" w:hint="eastAsia"/>
          <w:sz w:val="28"/>
          <w:szCs w:val="28"/>
        </w:rPr>
        <w:t>之。</w:t>
      </w:r>
    </w:p>
    <w:p w:rsidR="00A25AD1" w:rsidRDefault="003D6B3B"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AD7EF1">
        <w:rPr>
          <w:rFonts w:ascii="標楷體" w:eastAsia="標楷體" w:hAnsi="標楷體" w:hint="eastAsia"/>
          <w:sz w:val="28"/>
          <w:szCs w:val="28"/>
        </w:rPr>
        <w:t>為利協議作業進行，</w:t>
      </w:r>
      <w:r>
        <w:rPr>
          <w:rFonts w:ascii="標楷體" w:eastAsia="標楷體" w:hAnsi="標楷體" w:hint="eastAsia"/>
          <w:sz w:val="28"/>
          <w:szCs w:val="28"/>
        </w:rPr>
        <w:t>日後</w:t>
      </w:r>
      <w:r w:rsidR="00AD7EF1">
        <w:rPr>
          <w:rFonts w:ascii="標楷體" w:eastAsia="標楷體" w:hAnsi="標楷體" w:hint="eastAsia"/>
          <w:sz w:val="28"/>
          <w:szCs w:val="28"/>
        </w:rPr>
        <w:t>應視各路網基地條件及時空環境靈活調整協商策略，</w:t>
      </w:r>
      <w:r w:rsidR="006E7CC2">
        <w:rPr>
          <w:rFonts w:ascii="標楷體" w:eastAsia="標楷體" w:hAnsi="標楷體" w:hint="eastAsia"/>
          <w:sz w:val="28"/>
          <w:szCs w:val="28"/>
        </w:rPr>
        <w:t>以避免協議過程僵化，流於形式，</w:t>
      </w:r>
      <w:r>
        <w:rPr>
          <w:rFonts w:ascii="標楷體" w:eastAsia="標楷體" w:hAnsi="標楷體" w:hint="eastAsia"/>
          <w:sz w:val="28"/>
          <w:szCs w:val="28"/>
        </w:rPr>
        <w:t>創造市府與土地所有人之實質雙贏，故</w:t>
      </w:r>
      <w:r w:rsidR="006E7CC2">
        <w:rPr>
          <w:rFonts w:ascii="標楷體" w:eastAsia="標楷體" w:hAnsi="標楷體" w:hint="eastAsia"/>
          <w:sz w:val="28"/>
          <w:szCs w:val="28"/>
        </w:rPr>
        <w:t>本次修法特針對優惠辦法第三條及第四條有關協議優惠方案進行</w:t>
      </w:r>
      <w:r w:rsidR="0063192F">
        <w:rPr>
          <w:rFonts w:ascii="標楷體" w:eastAsia="標楷體" w:hAnsi="標楷體" w:hint="eastAsia"/>
          <w:sz w:val="28"/>
          <w:szCs w:val="28"/>
        </w:rPr>
        <w:t>全面檢討，增訂主管機關得</w:t>
      </w:r>
      <w:r w:rsidR="009875CD" w:rsidRPr="009875CD">
        <w:rPr>
          <w:rFonts w:ascii="標楷體" w:eastAsia="標楷體" w:hAnsi="標楷體" w:hint="eastAsia"/>
          <w:sz w:val="28"/>
          <w:szCs w:val="28"/>
        </w:rPr>
        <w:t>因地制宜，依實際需求彈性</w:t>
      </w:r>
      <w:r w:rsidR="0063192F">
        <w:rPr>
          <w:rFonts w:ascii="標楷體" w:eastAsia="標楷體" w:hAnsi="標楷體" w:hint="eastAsia"/>
          <w:sz w:val="28"/>
          <w:szCs w:val="28"/>
        </w:rPr>
        <w:t>調整協商條件之規定，另本府102</w:t>
      </w:r>
      <w:r w:rsidR="007349AE">
        <w:rPr>
          <w:rFonts w:ascii="標楷體" w:eastAsia="標楷體" w:hAnsi="標楷體" w:hint="eastAsia"/>
          <w:sz w:val="28"/>
          <w:szCs w:val="28"/>
        </w:rPr>
        <w:t>年辦理</w:t>
      </w:r>
      <w:r w:rsidR="0063192F">
        <w:rPr>
          <w:rFonts w:ascii="標楷體" w:eastAsia="標楷體" w:hAnsi="標楷體" w:hint="eastAsia"/>
          <w:sz w:val="28"/>
          <w:szCs w:val="28"/>
        </w:rPr>
        <w:t>烏日文心北屯線土地開發協議價購作業</w:t>
      </w:r>
      <w:r w:rsidR="007349AE">
        <w:rPr>
          <w:rFonts w:ascii="標楷體" w:eastAsia="標楷體" w:hAnsi="標楷體" w:hint="eastAsia"/>
          <w:sz w:val="28"/>
          <w:szCs w:val="28"/>
        </w:rPr>
        <w:t>時，基於協議當期之時空背景及</w:t>
      </w:r>
      <w:r w:rsidR="0063192F">
        <w:rPr>
          <w:rFonts w:ascii="標楷體" w:eastAsia="標楷體" w:hAnsi="標楷體" w:hint="eastAsia"/>
          <w:sz w:val="28"/>
          <w:szCs w:val="28"/>
        </w:rPr>
        <w:t>政策性考量，專案給予未領取協議價購土地款者優先承購</w:t>
      </w:r>
      <w:r w:rsidR="007349AE">
        <w:rPr>
          <w:rFonts w:ascii="標楷體" w:eastAsia="標楷體" w:hAnsi="標楷體" w:hint="eastAsia"/>
          <w:sz w:val="28"/>
          <w:szCs w:val="28"/>
        </w:rPr>
        <w:t>開發後公有不動產之權利，併於本次修法增訂</w:t>
      </w:r>
      <w:r>
        <w:rPr>
          <w:rFonts w:ascii="標楷體" w:eastAsia="標楷體" w:hAnsi="標楷體" w:hint="eastAsia"/>
          <w:sz w:val="28"/>
          <w:szCs w:val="28"/>
        </w:rPr>
        <w:t>該路線土地開發</w:t>
      </w:r>
      <w:r w:rsidR="007349AE">
        <w:rPr>
          <w:rFonts w:ascii="標楷體" w:eastAsia="標楷體" w:hAnsi="標楷體" w:hint="eastAsia"/>
          <w:sz w:val="28"/>
          <w:szCs w:val="28"/>
        </w:rPr>
        <w:t>之協議價購</w:t>
      </w:r>
      <w:r>
        <w:rPr>
          <w:rFonts w:ascii="標楷體" w:eastAsia="標楷體" w:hAnsi="標楷體" w:hint="eastAsia"/>
          <w:sz w:val="28"/>
          <w:szCs w:val="28"/>
        </w:rPr>
        <w:t>得</w:t>
      </w:r>
      <w:r w:rsidR="007349AE">
        <w:rPr>
          <w:rFonts w:ascii="標楷體" w:eastAsia="標楷體" w:hAnsi="標楷體" w:hint="eastAsia"/>
          <w:sz w:val="28"/>
          <w:szCs w:val="28"/>
        </w:rPr>
        <w:t>回溯適用本次修正後規定，賦予其依據</w:t>
      </w:r>
      <w:r w:rsidR="009875CD" w:rsidRPr="009875CD">
        <w:rPr>
          <w:rFonts w:ascii="標楷體" w:eastAsia="標楷體" w:hAnsi="標楷體" w:hint="eastAsia"/>
          <w:sz w:val="28"/>
          <w:szCs w:val="28"/>
        </w:rPr>
        <w:t>。</w:t>
      </w:r>
    </w:p>
    <w:p w:rsidR="00DF1507" w:rsidRDefault="00A25AD1"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基於上述理由</w:t>
      </w:r>
      <w:r w:rsidR="00B9279C">
        <w:rPr>
          <w:rFonts w:ascii="標楷體" w:eastAsia="標楷體" w:hAnsi="標楷體" w:hint="eastAsia"/>
          <w:sz w:val="28"/>
          <w:szCs w:val="28"/>
        </w:rPr>
        <w:t>，</w:t>
      </w:r>
      <w:r w:rsidR="00DF1507">
        <w:rPr>
          <w:rFonts w:ascii="標楷體" w:eastAsia="標楷體" w:hAnsi="標楷體" w:hint="eastAsia"/>
          <w:sz w:val="28"/>
          <w:szCs w:val="28"/>
        </w:rPr>
        <w:t>爰</w:t>
      </w:r>
      <w:r w:rsidR="009875CD" w:rsidRPr="009875CD">
        <w:rPr>
          <w:rFonts w:ascii="標楷體" w:eastAsia="標楷體" w:hAnsi="標楷體" w:hint="eastAsia"/>
          <w:sz w:val="28"/>
          <w:szCs w:val="28"/>
        </w:rPr>
        <w:t>擬</w:t>
      </w:r>
      <w:r w:rsidR="00DF1507">
        <w:rPr>
          <w:rFonts w:ascii="標楷體" w:eastAsia="標楷體" w:hAnsi="標楷體" w:hint="eastAsia"/>
          <w:sz w:val="28"/>
          <w:szCs w:val="28"/>
        </w:rPr>
        <w:t>具</w:t>
      </w:r>
      <w:r w:rsidR="00F74843">
        <w:rPr>
          <w:rFonts w:ascii="標楷體" w:eastAsia="標楷體" w:hAnsi="標楷體" w:hint="eastAsia"/>
          <w:sz w:val="28"/>
          <w:szCs w:val="28"/>
        </w:rPr>
        <w:t>本辦法第三條、第四條</w:t>
      </w:r>
      <w:r w:rsidR="009875CD" w:rsidRPr="009875CD">
        <w:rPr>
          <w:rFonts w:ascii="標楷體" w:eastAsia="標楷體" w:hAnsi="標楷體" w:hint="eastAsia"/>
          <w:sz w:val="28"/>
          <w:szCs w:val="28"/>
        </w:rPr>
        <w:t>修正草案，</w:t>
      </w:r>
      <w:r w:rsidR="00DF1507">
        <w:rPr>
          <w:rFonts w:ascii="標楷體" w:eastAsia="標楷體" w:hAnsi="標楷體" w:hint="eastAsia"/>
          <w:sz w:val="28"/>
          <w:szCs w:val="28"/>
        </w:rPr>
        <w:t>其修正要點如下：</w:t>
      </w:r>
    </w:p>
    <w:p w:rsidR="00DF1507" w:rsidRDefault="00B9279C" w:rsidP="00DF1507">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t>刪除</w:t>
      </w:r>
      <w:r w:rsidR="009875CD" w:rsidRPr="00DF1507">
        <w:rPr>
          <w:rFonts w:ascii="標楷體" w:eastAsia="標楷體" w:hAnsi="標楷體" w:hint="eastAsia"/>
          <w:sz w:val="28"/>
          <w:szCs w:val="28"/>
        </w:rPr>
        <w:t>原第三條</w:t>
      </w:r>
      <w:r>
        <w:rPr>
          <w:rFonts w:ascii="標楷體" w:eastAsia="標楷體" w:hAnsi="標楷體" w:hint="eastAsia"/>
          <w:sz w:val="28"/>
          <w:szCs w:val="28"/>
        </w:rPr>
        <w:t>第三項，整</w:t>
      </w:r>
      <w:r w:rsidR="009B0727">
        <w:rPr>
          <w:rFonts w:ascii="標楷體" w:eastAsia="標楷體" w:hAnsi="標楷體" w:hint="eastAsia"/>
          <w:sz w:val="28"/>
          <w:szCs w:val="28"/>
        </w:rPr>
        <w:t>併至</w:t>
      </w:r>
      <w:r w:rsidR="009875CD" w:rsidRPr="00DF1507">
        <w:rPr>
          <w:rFonts w:ascii="標楷體" w:eastAsia="標楷體" w:hAnsi="標楷體" w:hint="eastAsia"/>
          <w:sz w:val="28"/>
          <w:szCs w:val="28"/>
        </w:rPr>
        <w:t>第四條</w:t>
      </w:r>
      <w:r>
        <w:rPr>
          <w:rFonts w:ascii="標楷體" w:eastAsia="標楷體" w:hAnsi="標楷體" w:hint="eastAsia"/>
          <w:sz w:val="28"/>
          <w:szCs w:val="28"/>
        </w:rPr>
        <w:t>第一項</w:t>
      </w:r>
      <w:r w:rsidR="00DF1507">
        <w:rPr>
          <w:rFonts w:ascii="標楷體" w:eastAsia="標楷體" w:hAnsi="標楷體" w:hint="eastAsia"/>
          <w:sz w:val="28"/>
          <w:szCs w:val="28"/>
        </w:rPr>
        <w:t>。(修正草案第三條)</w:t>
      </w:r>
    </w:p>
    <w:p w:rsidR="009875CD" w:rsidRPr="00DF1507" w:rsidRDefault="00BF1295" w:rsidP="00DF1507">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lastRenderedPageBreak/>
        <w:t>整併第三條第三項至</w:t>
      </w:r>
      <w:r w:rsidR="009875CD" w:rsidRPr="00DF1507">
        <w:rPr>
          <w:rFonts w:ascii="標楷體" w:eastAsia="標楷體" w:hAnsi="標楷體" w:hint="eastAsia"/>
          <w:sz w:val="28"/>
          <w:szCs w:val="28"/>
        </w:rPr>
        <w:t>第四條第一項</w:t>
      </w:r>
      <w:r w:rsidR="00B9279C">
        <w:rPr>
          <w:rFonts w:ascii="標楷體" w:eastAsia="標楷體" w:hAnsi="標楷體" w:hint="eastAsia"/>
          <w:sz w:val="28"/>
          <w:szCs w:val="28"/>
        </w:rPr>
        <w:t>，</w:t>
      </w:r>
      <w:r w:rsidR="009B0727">
        <w:rPr>
          <w:rFonts w:ascii="標楷體" w:eastAsia="標楷體" w:hAnsi="標楷體" w:hint="eastAsia"/>
          <w:sz w:val="28"/>
          <w:szCs w:val="28"/>
        </w:rPr>
        <w:t>(</w:t>
      </w:r>
      <w:r w:rsidR="00B9279C">
        <w:rPr>
          <w:rFonts w:ascii="標楷體" w:eastAsia="標楷體" w:hAnsi="標楷體" w:hint="eastAsia"/>
          <w:sz w:val="28"/>
          <w:szCs w:val="28"/>
        </w:rPr>
        <w:t>第一項第一款後段</w:t>
      </w:r>
      <w:r w:rsidR="009B0727">
        <w:rPr>
          <w:rFonts w:ascii="標楷體" w:eastAsia="標楷體" w:hAnsi="標楷體" w:hint="eastAsia"/>
          <w:sz w:val="28"/>
          <w:szCs w:val="28"/>
        </w:rPr>
        <w:t>)</w:t>
      </w:r>
      <w:r w:rsidR="009875CD" w:rsidRPr="00DF1507">
        <w:rPr>
          <w:rFonts w:ascii="標楷體" w:eastAsia="標楷體" w:hAnsi="標楷體" w:hint="eastAsia"/>
          <w:sz w:val="28"/>
          <w:szCs w:val="28"/>
        </w:rPr>
        <w:t>增訂主管機關得因地制宜給予未領取協議價購土地款者適當優惠之規定，</w:t>
      </w:r>
      <w:r>
        <w:rPr>
          <w:rFonts w:ascii="標楷體" w:eastAsia="標楷體" w:hAnsi="標楷體" w:hint="eastAsia"/>
          <w:sz w:val="28"/>
          <w:szCs w:val="28"/>
        </w:rPr>
        <w:t>(第一項第二款)修正土地所有人為原土地所有人；(</w:t>
      </w:r>
      <w:r w:rsidR="009875CD" w:rsidRPr="00DF1507">
        <w:rPr>
          <w:rFonts w:ascii="標楷體" w:eastAsia="標楷體" w:hAnsi="標楷體" w:hint="eastAsia"/>
          <w:sz w:val="28"/>
          <w:szCs w:val="28"/>
        </w:rPr>
        <w:t>第二項</w:t>
      </w:r>
      <w:r>
        <w:rPr>
          <w:rFonts w:ascii="標楷體" w:eastAsia="標楷體" w:hAnsi="標楷體" w:hint="eastAsia"/>
          <w:sz w:val="28"/>
          <w:szCs w:val="28"/>
        </w:rPr>
        <w:t>)申請期限由十四日修正為二個月；(第三項)</w:t>
      </w:r>
      <w:r w:rsidR="009875CD" w:rsidRPr="00DF1507">
        <w:rPr>
          <w:rFonts w:ascii="標楷體" w:eastAsia="標楷體" w:hAnsi="標楷體" w:hint="eastAsia"/>
          <w:sz w:val="28"/>
          <w:szCs w:val="28"/>
        </w:rPr>
        <w:t>增訂得溯及既往適用之規定。</w:t>
      </w:r>
      <w:r>
        <w:rPr>
          <w:rFonts w:ascii="標楷體" w:eastAsia="標楷體" w:hAnsi="標楷體" w:hint="eastAsia"/>
          <w:sz w:val="28"/>
          <w:szCs w:val="28"/>
        </w:rPr>
        <w:t>(修正草案第四條)</w:t>
      </w:r>
    </w:p>
    <w:p w:rsidR="00871AC3" w:rsidRPr="0099529C" w:rsidRDefault="00871AC3" w:rsidP="0099529C">
      <w:pPr>
        <w:spacing w:line="460" w:lineRule="exact"/>
        <w:rPr>
          <w:rFonts w:ascii="標楷體" w:eastAsia="標楷體" w:hAnsi="標楷體"/>
          <w:sz w:val="28"/>
          <w:szCs w:val="28"/>
        </w:rPr>
      </w:pPr>
    </w:p>
    <w:sectPr w:rsidR="00871AC3" w:rsidRPr="0099529C" w:rsidSect="0099529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2C3" w:rsidRDefault="002352C3" w:rsidP="00D410FD">
      <w:r>
        <w:separator/>
      </w:r>
    </w:p>
  </w:endnote>
  <w:endnote w:type="continuationSeparator" w:id="0">
    <w:p w:rsidR="002352C3" w:rsidRDefault="002352C3" w:rsidP="00D41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2C3" w:rsidRDefault="002352C3" w:rsidP="00D410FD">
      <w:r>
        <w:separator/>
      </w:r>
    </w:p>
  </w:footnote>
  <w:footnote w:type="continuationSeparator" w:id="0">
    <w:p w:rsidR="002352C3" w:rsidRDefault="002352C3" w:rsidP="00D410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90637A"/>
    <w:multiLevelType w:val="hybridMultilevel"/>
    <w:tmpl w:val="C74AFAA6"/>
    <w:lvl w:ilvl="0" w:tplc="DBCA6BB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29C"/>
    <w:rsid w:val="000A434E"/>
    <w:rsid w:val="001F077B"/>
    <w:rsid w:val="001F0D40"/>
    <w:rsid w:val="001F4B2A"/>
    <w:rsid w:val="002352C3"/>
    <w:rsid w:val="00291CA2"/>
    <w:rsid w:val="00397210"/>
    <w:rsid w:val="003C0C34"/>
    <w:rsid w:val="003D6B3B"/>
    <w:rsid w:val="00477BFD"/>
    <w:rsid w:val="004B019E"/>
    <w:rsid w:val="00545B6F"/>
    <w:rsid w:val="0063192F"/>
    <w:rsid w:val="00652B81"/>
    <w:rsid w:val="006D777B"/>
    <w:rsid w:val="006E7CC2"/>
    <w:rsid w:val="007349AE"/>
    <w:rsid w:val="00812FCE"/>
    <w:rsid w:val="00830E9C"/>
    <w:rsid w:val="00871AC3"/>
    <w:rsid w:val="009071FF"/>
    <w:rsid w:val="009875CD"/>
    <w:rsid w:val="0099529C"/>
    <w:rsid w:val="009A525B"/>
    <w:rsid w:val="009B0727"/>
    <w:rsid w:val="00A11684"/>
    <w:rsid w:val="00A158A6"/>
    <w:rsid w:val="00A25AD1"/>
    <w:rsid w:val="00AD7EF1"/>
    <w:rsid w:val="00B30725"/>
    <w:rsid w:val="00B9279C"/>
    <w:rsid w:val="00BF1295"/>
    <w:rsid w:val="00CB3CF6"/>
    <w:rsid w:val="00CF7845"/>
    <w:rsid w:val="00D2460B"/>
    <w:rsid w:val="00D410FD"/>
    <w:rsid w:val="00D41145"/>
    <w:rsid w:val="00DF1507"/>
    <w:rsid w:val="00E929EF"/>
    <w:rsid w:val="00EC04AF"/>
    <w:rsid w:val="00F16FD6"/>
    <w:rsid w:val="00F748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FA918E5-8716-4093-8E9F-5C295F7EA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507"/>
    <w:pPr>
      <w:ind w:leftChars="200" w:left="480"/>
    </w:pPr>
  </w:style>
  <w:style w:type="paragraph" w:styleId="a4">
    <w:name w:val="header"/>
    <w:basedOn w:val="a"/>
    <w:link w:val="a5"/>
    <w:uiPriority w:val="99"/>
    <w:unhideWhenUsed/>
    <w:rsid w:val="00D410FD"/>
    <w:pPr>
      <w:tabs>
        <w:tab w:val="center" w:pos="4153"/>
        <w:tab w:val="right" w:pos="8306"/>
      </w:tabs>
      <w:snapToGrid w:val="0"/>
    </w:pPr>
    <w:rPr>
      <w:sz w:val="20"/>
      <w:szCs w:val="20"/>
    </w:rPr>
  </w:style>
  <w:style w:type="character" w:customStyle="1" w:styleId="a5">
    <w:name w:val="頁首 字元"/>
    <w:basedOn w:val="a0"/>
    <w:link w:val="a4"/>
    <w:uiPriority w:val="99"/>
    <w:rsid w:val="00D410FD"/>
    <w:rPr>
      <w:sz w:val="20"/>
      <w:szCs w:val="20"/>
    </w:rPr>
  </w:style>
  <w:style w:type="paragraph" w:styleId="a6">
    <w:name w:val="footer"/>
    <w:basedOn w:val="a"/>
    <w:link w:val="a7"/>
    <w:uiPriority w:val="99"/>
    <w:unhideWhenUsed/>
    <w:rsid w:val="00D410FD"/>
    <w:pPr>
      <w:tabs>
        <w:tab w:val="center" w:pos="4153"/>
        <w:tab w:val="right" w:pos="8306"/>
      </w:tabs>
      <w:snapToGrid w:val="0"/>
    </w:pPr>
    <w:rPr>
      <w:sz w:val="20"/>
      <w:szCs w:val="20"/>
    </w:rPr>
  </w:style>
  <w:style w:type="character" w:customStyle="1" w:styleId="a7">
    <w:name w:val="頁尾 字元"/>
    <w:basedOn w:val="a0"/>
    <w:link w:val="a6"/>
    <w:uiPriority w:val="99"/>
    <w:rsid w:val="00D410FD"/>
    <w:rPr>
      <w:sz w:val="20"/>
      <w:szCs w:val="20"/>
    </w:rPr>
  </w:style>
  <w:style w:type="paragraph" w:styleId="a8">
    <w:name w:val="Balloon Text"/>
    <w:basedOn w:val="a"/>
    <w:link w:val="a9"/>
    <w:uiPriority w:val="99"/>
    <w:semiHidden/>
    <w:unhideWhenUsed/>
    <w:rsid w:val="00D410F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410F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145</Words>
  <Characters>828</Characters>
  <Application>Microsoft Office Word</Application>
  <DocSecurity>0</DocSecurity>
  <Lines>6</Lines>
  <Paragraphs>1</Paragraphs>
  <ScaleCrop>false</ScaleCrop>
  <Company/>
  <LinksUpToDate>false</LinksUpToDate>
  <CharactersWithSpaces>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cp:keywords/>
  <dc:description/>
  <cp:lastModifiedBy>Secretary</cp:lastModifiedBy>
  <cp:revision>2</cp:revision>
  <cp:lastPrinted>2019-01-08T06:26:00Z</cp:lastPrinted>
  <dcterms:created xsi:type="dcterms:W3CDTF">2019-01-17T08:49:00Z</dcterms:created>
  <dcterms:modified xsi:type="dcterms:W3CDTF">2019-01-17T08:49:00Z</dcterms:modified>
</cp:coreProperties>
</file>