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7FE4" w:rsidRDefault="008533E9">
      <w:pPr>
        <w:spacing w:after="180" w:line="0" w:lineRule="atLeast"/>
        <w:rPr>
          <w:rFonts w:ascii="標楷體" w:eastAsia="標楷體" w:hAnsi="標楷體"/>
          <w:sz w:val="40"/>
          <w:szCs w:val="40"/>
        </w:rPr>
      </w:pPr>
      <w:r>
        <w:rPr>
          <w:rFonts w:ascii="標楷體" w:eastAsia="標楷體" w:hAnsi="標楷體"/>
          <w:sz w:val="40"/>
          <w:szCs w:val="40"/>
        </w:rPr>
        <w:t>臺中市大眾捷運系統修建養護規則草案總說明</w:t>
      </w:r>
    </w:p>
    <w:p w:rsidR="00207FE4" w:rsidRDefault="008533E9">
      <w:pPr>
        <w:overflowPunct w:val="0"/>
        <w:spacing w:line="460" w:lineRule="exact"/>
        <w:ind w:firstLine="567"/>
        <w:jc w:val="both"/>
      </w:pPr>
      <w:r>
        <w:rPr>
          <w:rFonts w:eastAsia="標楷體" w:cs="標楷體"/>
          <w:bCs/>
          <w:sz w:val="28"/>
          <w:szCs w:val="32"/>
        </w:rPr>
        <w:t>「臺中市大眾捷運系統</w:t>
      </w:r>
      <w:r>
        <w:rPr>
          <w:rFonts w:ascii="標楷體" w:eastAsia="標楷體" w:hAnsi="標楷體"/>
          <w:sz w:val="28"/>
          <w:szCs w:val="28"/>
        </w:rPr>
        <w:t>修建養護</w:t>
      </w:r>
      <w:r>
        <w:rPr>
          <w:rFonts w:eastAsia="標楷體" w:cs="標楷體"/>
          <w:bCs/>
          <w:sz w:val="28"/>
          <w:szCs w:val="32"/>
        </w:rPr>
        <w:t>規則」</w:t>
      </w:r>
      <w:r>
        <w:rPr>
          <w:rFonts w:eastAsia="標楷體" w:cs="標楷體"/>
          <w:bCs/>
          <w:sz w:val="28"/>
          <w:szCs w:val="32"/>
        </w:rPr>
        <w:t>(</w:t>
      </w:r>
      <w:r>
        <w:rPr>
          <w:rFonts w:eastAsia="標楷體" w:cs="標楷體"/>
          <w:bCs/>
          <w:sz w:val="28"/>
          <w:szCs w:val="32"/>
        </w:rPr>
        <w:t>以下簡稱本規則</w:t>
      </w:r>
      <w:r>
        <w:rPr>
          <w:rFonts w:eastAsia="標楷體" w:cs="標楷體"/>
          <w:bCs/>
          <w:sz w:val="28"/>
          <w:szCs w:val="32"/>
        </w:rPr>
        <w:t>)</w:t>
      </w:r>
      <w:r>
        <w:rPr>
          <w:rFonts w:eastAsia="標楷體" w:cs="標楷體"/>
          <w:bCs/>
          <w:sz w:val="28"/>
          <w:szCs w:val="32"/>
        </w:rPr>
        <w:t>主要係規範臺中市政府主管之大眾捷運系統之修建養護事項。本規則根據「大眾捷運法」第八章「附則」等章節法源精神訂定，全文計二十一條，其要點如下：</w:t>
      </w:r>
    </w:p>
    <w:p w:rsidR="00207FE4" w:rsidRDefault="008533E9">
      <w:pPr>
        <w:pStyle w:val="a5"/>
        <w:numPr>
          <w:ilvl w:val="0"/>
          <w:numId w:val="3"/>
        </w:numPr>
        <w:overflowPunct w:val="0"/>
        <w:spacing w:line="460" w:lineRule="exact"/>
        <w:ind w:left="560" w:hanging="560"/>
        <w:jc w:val="both"/>
        <w:rPr>
          <w:rFonts w:ascii="標楷體" w:eastAsia="標楷體" w:hAnsi="標楷體" w:cs="標楷體"/>
          <w:bCs/>
          <w:sz w:val="28"/>
          <w:szCs w:val="32"/>
        </w:rPr>
      </w:pPr>
      <w:r>
        <w:rPr>
          <w:rFonts w:ascii="標楷體" w:eastAsia="標楷體" w:hAnsi="標楷體" w:cs="標楷體"/>
          <w:bCs/>
          <w:sz w:val="28"/>
          <w:szCs w:val="32"/>
        </w:rPr>
        <w:t>本規則制訂之法源依據。</w:t>
      </w:r>
      <w:r>
        <w:rPr>
          <w:rFonts w:ascii="標楷體" w:eastAsia="標楷體" w:hAnsi="標楷體" w:cs="標楷體"/>
          <w:bCs/>
          <w:sz w:val="28"/>
          <w:szCs w:val="32"/>
        </w:rPr>
        <w:t>(</w:t>
      </w:r>
      <w:r>
        <w:rPr>
          <w:rFonts w:ascii="標楷體" w:eastAsia="標楷體" w:hAnsi="標楷體" w:cs="標楷體"/>
          <w:bCs/>
          <w:sz w:val="28"/>
          <w:szCs w:val="32"/>
        </w:rPr>
        <w:t>草案第一條</w:t>
      </w:r>
      <w:r>
        <w:rPr>
          <w:rFonts w:ascii="標楷體" w:eastAsia="標楷體" w:hAnsi="標楷體" w:cs="標楷體"/>
          <w:bCs/>
          <w:sz w:val="28"/>
          <w:szCs w:val="32"/>
        </w:rPr>
        <w:t>)</w:t>
      </w:r>
    </w:p>
    <w:p w:rsidR="00207FE4" w:rsidRDefault="008533E9">
      <w:pPr>
        <w:pStyle w:val="a5"/>
        <w:numPr>
          <w:ilvl w:val="0"/>
          <w:numId w:val="3"/>
        </w:numPr>
        <w:overflowPunct w:val="0"/>
        <w:spacing w:line="460" w:lineRule="exact"/>
        <w:ind w:left="560" w:hanging="560"/>
        <w:jc w:val="both"/>
        <w:rPr>
          <w:rFonts w:ascii="標楷體" w:eastAsia="標楷體" w:hAnsi="標楷體" w:cs="標楷體"/>
          <w:bCs/>
          <w:sz w:val="28"/>
          <w:szCs w:val="32"/>
        </w:rPr>
      </w:pPr>
      <w:r>
        <w:rPr>
          <w:rFonts w:ascii="標楷體" w:eastAsia="標楷體" w:hAnsi="標楷體" w:cs="標楷體"/>
          <w:bCs/>
          <w:sz w:val="28"/>
          <w:szCs w:val="32"/>
        </w:rPr>
        <w:t>本規則管轄適用範圍。</w:t>
      </w:r>
      <w:r>
        <w:rPr>
          <w:rFonts w:ascii="標楷體" w:eastAsia="標楷體" w:hAnsi="標楷體" w:cs="標楷體"/>
          <w:bCs/>
          <w:sz w:val="28"/>
          <w:szCs w:val="32"/>
        </w:rPr>
        <w:t>(</w:t>
      </w:r>
      <w:r>
        <w:rPr>
          <w:rFonts w:ascii="標楷體" w:eastAsia="標楷體" w:hAnsi="標楷體" w:cs="標楷體"/>
          <w:bCs/>
          <w:sz w:val="28"/>
          <w:szCs w:val="32"/>
        </w:rPr>
        <w:t>草案第二條</w:t>
      </w:r>
      <w:r>
        <w:rPr>
          <w:rFonts w:ascii="標楷體" w:eastAsia="標楷體" w:hAnsi="標楷體" w:cs="標楷體"/>
          <w:bCs/>
          <w:sz w:val="28"/>
          <w:szCs w:val="32"/>
        </w:rPr>
        <w:t>)</w:t>
      </w:r>
    </w:p>
    <w:p w:rsidR="00207FE4" w:rsidRDefault="008533E9">
      <w:pPr>
        <w:pStyle w:val="a5"/>
        <w:numPr>
          <w:ilvl w:val="0"/>
          <w:numId w:val="3"/>
        </w:numPr>
        <w:overflowPunct w:val="0"/>
        <w:spacing w:line="460" w:lineRule="exact"/>
        <w:ind w:left="560" w:hanging="560"/>
        <w:jc w:val="both"/>
        <w:rPr>
          <w:rFonts w:ascii="標楷體" w:eastAsia="標楷體" w:hAnsi="標楷體" w:cs="標楷體"/>
          <w:bCs/>
          <w:sz w:val="28"/>
          <w:szCs w:val="32"/>
        </w:rPr>
      </w:pPr>
      <w:r>
        <w:rPr>
          <w:rFonts w:ascii="標楷體" w:eastAsia="標楷體" w:hAnsi="標楷體" w:cs="標楷體"/>
          <w:bCs/>
          <w:sz w:val="28"/>
          <w:szCs w:val="32"/>
        </w:rPr>
        <w:t>明定路線設施、機電設備之種類型式。</w:t>
      </w:r>
      <w:r>
        <w:rPr>
          <w:rFonts w:ascii="標楷體" w:eastAsia="標楷體" w:hAnsi="標楷體" w:cs="標楷體"/>
          <w:bCs/>
          <w:sz w:val="28"/>
          <w:szCs w:val="32"/>
        </w:rPr>
        <w:t>(</w:t>
      </w:r>
      <w:r>
        <w:rPr>
          <w:rFonts w:ascii="標楷體" w:eastAsia="標楷體" w:hAnsi="標楷體" w:cs="標楷體"/>
          <w:bCs/>
          <w:sz w:val="28"/>
          <w:szCs w:val="32"/>
        </w:rPr>
        <w:t>草案第三條</w:t>
      </w:r>
      <w:r>
        <w:rPr>
          <w:rFonts w:ascii="標楷體" w:eastAsia="標楷體" w:hAnsi="標楷體" w:cs="標楷體"/>
          <w:bCs/>
          <w:sz w:val="28"/>
          <w:szCs w:val="32"/>
        </w:rPr>
        <w:t>)</w:t>
      </w:r>
    </w:p>
    <w:p w:rsidR="00207FE4" w:rsidRDefault="008533E9">
      <w:pPr>
        <w:pStyle w:val="a5"/>
        <w:numPr>
          <w:ilvl w:val="0"/>
          <w:numId w:val="3"/>
        </w:numPr>
        <w:overflowPunct w:val="0"/>
        <w:spacing w:line="460" w:lineRule="exact"/>
        <w:ind w:left="560" w:hanging="560"/>
        <w:jc w:val="both"/>
        <w:rPr>
          <w:rFonts w:ascii="標楷體" w:eastAsia="標楷體" w:hAnsi="標楷體" w:cs="標楷體"/>
          <w:bCs/>
          <w:sz w:val="28"/>
          <w:szCs w:val="32"/>
        </w:rPr>
      </w:pPr>
      <w:r>
        <w:rPr>
          <w:rFonts w:ascii="標楷體" w:eastAsia="標楷體" w:hAnsi="標楷體" w:cs="標楷體"/>
          <w:bCs/>
          <w:sz w:val="28"/>
          <w:szCs w:val="32"/>
        </w:rPr>
        <w:t>規範營運機構對於新設、改建路線設施及機電設備之使用限制。</w:t>
      </w:r>
      <w:r>
        <w:rPr>
          <w:rFonts w:ascii="標楷體" w:eastAsia="標楷體" w:hAnsi="標楷體" w:cs="標楷體"/>
          <w:bCs/>
          <w:sz w:val="28"/>
          <w:szCs w:val="32"/>
        </w:rPr>
        <w:t>(</w:t>
      </w:r>
      <w:r>
        <w:rPr>
          <w:rFonts w:ascii="標楷體" w:eastAsia="標楷體" w:hAnsi="標楷體" w:cs="標楷體"/>
          <w:bCs/>
          <w:sz w:val="28"/>
          <w:szCs w:val="32"/>
        </w:rPr>
        <w:t>草案第四條</w:t>
      </w:r>
      <w:r>
        <w:rPr>
          <w:rFonts w:ascii="標楷體" w:eastAsia="標楷體" w:hAnsi="標楷體" w:cs="標楷體"/>
          <w:bCs/>
          <w:sz w:val="28"/>
          <w:szCs w:val="32"/>
        </w:rPr>
        <w:t>)</w:t>
      </w:r>
    </w:p>
    <w:p w:rsidR="00207FE4" w:rsidRDefault="008533E9">
      <w:pPr>
        <w:pStyle w:val="a5"/>
        <w:numPr>
          <w:ilvl w:val="0"/>
          <w:numId w:val="3"/>
        </w:numPr>
        <w:overflowPunct w:val="0"/>
        <w:spacing w:line="460" w:lineRule="exact"/>
        <w:ind w:left="560" w:hanging="560"/>
        <w:jc w:val="both"/>
        <w:rPr>
          <w:rFonts w:ascii="標楷體" w:eastAsia="標楷體" w:hAnsi="標楷體" w:cs="標楷體"/>
          <w:bCs/>
          <w:sz w:val="28"/>
          <w:szCs w:val="32"/>
        </w:rPr>
      </w:pPr>
      <w:r>
        <w:rPr>
          <w:rFonts w:ascii="標楷體" w:eastAsia="標楷體" w:hAnsi="標楷體" w:cs="標楷體"/>
          <w:bCs/>
          <w:sz w:val="28"/>
          <w:szCs w:val="32"/>
        </w:rPr>
        <w:t>規範路線設施之檢修型式並應將其檢修紀錄存查。</w:t>
      </w:r>
      <w:r>
        <w:rPr>
          <w:rFonts w:ascii="標楷體" w:eastAsia="標楷體" w:hAnsi="標楷體" w:cs="標楷體"/>
          <w:bCs/>
          <w:sz w:val="28"/>
          <w:szCs w:val="32"/>
        </w:rPr>
        <w:t>(</w:t>
      </w:r>
      <w:r>
        <w:rPr>
          <w:rFonts w:ascii="標楷體" w:eastAsia="標楷體" w:hAnsi="標楷體" w:cs="標楷體"/>
          <w:bCs/>
          <w:sz w:val="28"/>
          <w:szCs w:val="32"/>
        </w:rPr>
        <w:t>草案第五條</w:t>
      </w:r>
      <w:r>
        <w:rPr>
          <w:rFonts w:ascii="標楷體" w:eastAsia="標楷體" w:hAnsi="標楷體" w:cs="標楷體"/>
          <w:bCs/>
          <w:sz w:val="28"/>
          <w:szCs w:val="32"/>
        </w:rPr>
        <w:t>)</w:t>
      </w:r>
    </w:p>
    <w:p w:rsidR="00207FE4" w:rsidRDefault="008533E9">
      <w:pPr>
        <w:pStyle w:val="a5"/>
        <w:numPr>
          <w:ilvl w:val="0"/>
          <w:numId w:val="3"/>
        </w:numPr>
        <w:overflowPunct w:val="0"/>
        <w:spacing w:line="460" w:lineRule="exact"/>
        <w:ind w:left="560" w:hanging="560"/>
        <w:jc w:val="both"/>
        <w:rPr>
          <w:rFonts w:ascii="標楷體" w:eastAsia="標楷體" w:hAnsi="標楷體" w:cs="標楷體"/>
          <w:bCs/>
          <w:sz w:val="28"/>
          <w:szCs w:val="32"/>
        </w:rPr>
      </w:pPr>
      <w:r>
        <w:rPr>
          <w:rFonts w:ascii="標楷體" w:eastAsia="標楷體" w:hAnsi="標楷體" w:cs="標楷體"/>
          <w:bCs/>
          <w:sz w:val="28"/>
          <w:szCs w:val="32"/>
        </w:rPr>
        <w:t>規範營運機構每年應執行總檢查一次，以確保路線設施養護品質。</w:t>
      </w:r>
      <w:r>
        <w:rPr>
          <w:rFonts w:ascii="標楷體" w:eastAsia="標楷體" w:hAnsi="標楷體" w:cs="標楷體"/>
          <w:bCs/>
          <w:sz w:val="28"/>
          <w:szCs w:val="32"/>
        </w:rPr>
        <w:t>(</w:t>
      </w:r>
      <w:r>
        <w:rPr>
          <w:rFonts w:ascii="標楷體" w:eastAsia="標楷體" w:hAnsi="標楷體" w:cs="標楷體"/>
          <w:bCs/>
          <w:sz w:val="28"/>
          <w:szCs w:val="32"/>
        </w:rPr>
        <w:t>草案第六條</w:t>
      </w:r>
      <w:r>
        <w:rPr>
          <w:rFonts w:ascii="標楷體" w:eastAsia="標楷體" w:hAnsi="標楷體" w:cs="標楷體"/>
          <w:bCs/>
          <w:sz w:val="28"/>
          <w:szCs w:val="32"/>
        </w:rPr>
        <w:t>)</w:t>
      </w:r>
    </w:p>
    <w:p w:rsidR="00207FE4" w:rsidRDefault="008533E9">
      <w:pPr>
        <w:pStyle w:val="a5"/>
        <w:numPr>
          <w:ilvl w:val="0"/>
          <w:numId w:val="3"/>
        </w:numPr>
        <w:overflowPunct w:val="0"/>
        <w:spacing w:line="460" w:lineRule="exact"/>
        <w:ind w:left="560" w:hanging="560"/>
        <w:jc w:val="both"/>
        <w:rPr>
          <w:rFonts w:ascii="標楷體" w:eastAsia="標楷體" w:hAnsi="標楷體" w:cs="標楷體"/>
          <w:bCs/>
          <w:sz w:val="28"/>
          <w:szCs w:val="32"/>
        </w:rPr>
      </w:pPr>
      <w:r>
        <w:rPr>
          <w:rFonts w:ascii="標楷體" w:eastAsia="標楷體" w:hAnsi="標楷體" w:cs="標楷體"/>
          <w:bCs/>
          <w:sz w:val="28"/>
          <w:szCs w:val="32"/>
        </w:rPr>
        <w:t>訂定路基、軌道之檢修型式。</w:t>
      </w:r>
      <w:r>
        <w:rPr>
          <w:rFonts w:ascii="標楷體" w:eastAsia="標楷體" w:hAnsi="標楷體" w:cs="標楷體"/>
          <w:bCs/>
          <w:sz w:val="28"/>
          <w:szCs w:val="32"/>
        </w:rPr>
        <w:t>(</w:t>
      </w:r>
      <w:r>
        <w:rPr>
          <w:rFonts w:ascii="標楷體" w:eastAsia="標楷體" w:hAnsi="標楷體" w:cs="標楷體"/>
          <w:bCs/>
          <w:sz w:val="28"/>
          <w:szCs w:val="32"/>
        </w:rPr>
        <w:t>草案第七條</w:t>
      </w:r>
      <w:r>
        <w:rPr>
          <w:rFonts w:ascii="標楷體" w:eastAsia="標楷體" w:hAnsi="標楷體" w:cs="標楷體"/>
          <w:bCs/>
          <w:sz w:val="28"/>
          <w:szCs w:val="32"/>
        </w:rPr>
        <w:t>)</w:t>
      </w:r>
    </w:p>
    <w:p w:rsidR="00207FE4" w:rsidRDefault="008533E9">
      <w:pPr>
        <w:pStyle w:val="a5"/>
        <w:numPr>
          <w:ilvl w:val="0"/>
          <w:numId w:val="3"/>
        </w:numPr>
        <w:overflowPunct w:val="0"/>
        <w:spacing w:line="460" w:lineRule="exact"/>
        <w:ind w:left="560" w:hanging="560"/>
        <w:jc w:val="both"/>
        <w:rPr>
          <w:rFonts w:ascii="標楷體" w:eastAsia="標楷體" w:hAnsi="標楷體" w:cs="標楷體"/>
          <w:bCs/>
          <w:sz w:val="28"/>
          <w:szCs w:val="32"/>
        </w:rPr>
      </w:pPr>
      <w:r>
        <w:rPr>
          <w:rFonts w:ascii="標楷體" w:eastAsia="標楷體" w:hAnsi="標楷體" w:cs="標楷體"/>
          <w:bCs/>
          <w:sz w:val="28"/>
          <w:szCs w:val="32"/>
        </w:rPr>
        <w:t>規範營運機構應訂定路基、軌道檢修項目及週期，以確保營運品質與安全。</w:t>
      </w:r>
      <w:r>
        <w:rPr>
          <w:rFonts w:ascii="標楷體" w:eastAsia="標楷體" w:hAnsi="標楷體" w:cs="標楷體"/>
          <w:bCs/>
          <w:sz w:val="28"/>
          <w:szCs w:val="32"/>
        </w:rPr>
        <w:t>(</w:t>
      </w:r>
      <w:r>
        <w:rPr>
          <w:rFonts w:ascii="標楷體" w:eastAsia="標楷體" w:hAnsi="標楷體" w:cs="標楷體"/>
          <w:bCs/>
          <w:sz w:val="28"/>
          <w:szCs w:val="32"/>
        </w:rPr>
        <w:t>草案第八條</w:t>
      </w:r>
      <w:r>
        <w:rPr>
          <w:rFonts w:ascii="標楷體" w:eastAsia="標楷體" w:hAnsi="標楷體" w:cs="標楷體"/>
          <w:bCs/>
          <w:sz w:val="28"/>
          <w:szCs w:val="32"/>
        </w:rPr>
        <w:t>)</w:t>
      </w:r>
    </w:p>
    <w:p w:rsidR="00207FE4" w:rsidRDefault="008533E9">
      <w:pPr>
        <w:pStyle w:val="a5"/>
        <w:numPr>
          <w:ilvl w:val="0"/>
          <w:numId w:val="3"/>
        </w:numPr>
        <w:overflowPunct w:val="0"/>
        <w:spacing w:line="460" w:lineRule="exact"/>
        <w:ind w:left="560" w:hanging="560"/>
        <w:jc w:val="both"/>
        <w:rPr>
          <w:rFonts w:ascii="標楷體" w:eastAsia="標楷體" w:hAnsi="標楷體" w:cs="標楷體"/>
          <w:bCs/>
          <w:sz w:val="28"/>
          <w:szCs w:val="32"/>
        </w:rPr>
      </w:pPr>
      <w:r>
        <w:rPr>
          <w:rFonts w:ascii="標楷體" w:eastAsia="標楷體" w:hAnsi="標楷體" w:cs="標楷體"/>
          <w:bCs/>
          <w:sz w:val="28"/>
          <w:szCs w:val="32"/>
        </w:rPr>
        <w:t>訂定路基、軌道執行臨時檢修時機。</w:t>
      </w:r>
      <w:r>
        <w:rPr>
          <w:rFonts w:ascii="標楷體" w:eastAsia="標楷體" w:hAnsi="標楷體" w:cs="標楷體"/>
          <w:bCs/>
          <w:sz w:val="28"/>
          <w:szCs w:val="32"/>
        </w:rPr>
        <w:t>(</w:t>
      </w:r>
      <w:r>
        <w:rPr>
          <w:rFonts w:ascii="標楷體" w:eastAsia="標楷體" w:hAnsi="標楷體" w:cs="標楷體"/>
          <w:bCs/>
          <w:sz w:val="28"/>
          <w:szCs w:val="32"/>
        </w:rPr>
        <w:t>草案第九條</w:t>
      </w:r>
      <w:r>
        <w:rPr>
          <w:rFonts w:ascii="標楷體" w:eastAsia="標楷體" w:hAnsi="標楷體" w:cs="標楷體"/>
          <w:bCs/>
          <w:sz w:val="28"/>
          <w:szCs w:val="32"/>
        </w:rPr>
        <w:t>)</w:t>
      </w:r>
    </w:p>
    <w:p w:rsidR="00207FE4" w:rsidRDefault="008533E9">
      <w:pPr>
        <w:pStyle w:val="a5"/>
        <w:numPr>
          <w:ilvl w:val="0"/>
          <w:numId w:val="3"/>
        </w:numPr>
        <w:overflowPunct w:val="0"/>
        <w:spacing w:line="460" w:lineRule="exact"/>
        <w:ind w:left="560" w:hanging="560"/>
        <w:jc w:val="both"/>
        <w:rPr>
          <w:rFonts w:ascii="標楷體" w:eastAsia="標楷體" w:hAnsi="標楷體" w:cs="標楷體"/>
          <w:bCs/>
          <w:sz w:val="28"/>
          <w:szCs w:val="32"/>
        </w:rPr>
      </w:pPr>
      <w:r>
        <w:rPr>
          <w:rFonts w:ascii="標楷體" w:eastAsia="標楷體" w:hAnsi="標楷體" w:cs="標楷體"/>
          <w:bCs/>
          <w:sz w:val="28"/>
          <w:szCs w:val="32"/>
        </w:rPr>
        <w:t>規範營運機構應確保營運品質與安全，並執行相關檢修規定。</w:t>
      </w:r>
      <w:r>
        <w:rPr>
          <w:rFonts w:ascii="標楷體" w:eastAsia="標楷體" w:hAnsi="標楷體" w:cs="標楷體"/>
          <w:bCs/>
          <w:sz w:val="28"/>
          <w:szCs w:val="32"/>
        </w:rPr>
        <w:t>(</w:t>
      </w:r>
      <w:r>
        <w:rPr>
          <w:rFonts w:ascii="標楷體" w:eastAsia="標楷體" w:hAnsi="標楷體" w:cs="標楷體"/>
          <w:bCs/>
          <w:sz w:val="28"/>
          <w:szCs w:val="32"/>
        </w:rPr>
        <w:t>草案第十條</w:t>
      </w:r>
      <w:r>
        <w:rPr>
          <w:rFonts w:ascii="標楷體" w:eastAsia="標楷體" w:hAnsi="標楷體" w:cs="標楷體"/>
          <w:bCs/>
          <w:sz w:val="28"/>
          <w:szCs w:val="32"/>
        </w:rPr>
        <w:t>)</w:t>
      </w:r>
    </w:p>
    <w:p w:rsidR="00207FE4" w:rsidRDefault="008533E9">
      <w:pPr>
        <w:pStyle w:val="a5"/>
        <w:numPr>
          <w:ilvl w:val="0"/>
          <w:numId w:val="3"/>
        </w:numPr>
        <w:overflowPunct w:val="0"/>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規範橋梁隧道等如有異常，應查明原因並改善。</w:t>
      </w:r>
      <w:r>
        <w:rPr>
          <w:rFonts w:ascii="標楷體" w:eastAsia="標楷體" w:hAnsi="標楷體" w:cs="標楷體"/>
          <w:bCs/>
          <w:sz w:val="28"/>
          <w:szCs w:val="32"/>
        </w:rPr>
        <w:t>(</w:t>
      </w:r>
      <w:r>
        <w:rPr>
          <w:rFonts w:ascii="標楷體" w:eastAsia="標楷體" w:hAnsi="標楷體" w:cs="標楷體"/>
          <w:bCs/>
          <w:sz w:val="28"/>
          <w:szCs w:val="32"/>
        </w:rPr>
        <w:t>草案第十一條</w:t>
      </w:r>
      <w:r>
        <w:rPr>
          <w:rFonts w:ascii="標楷體" w:eastAsia="標楷體" w:hAnsi="標楷體" w:cs="標楷體"/>
          <w:bCs/>
          <w:sz w:val="28"/>
          <w:szCs w:val="32"/>
        </w:rPr>
        <w:t>)</w:t>
      </w:r>
    </w:p>
    <w:p w:rsidR="00207FE4" w:rsidRDefault="008533E9">
      <w:pPr>
        <w:pStyle w:val="a5"/>
        <w:numPr>
          <w:ilvl w:val="0"/>
          <w:numId w:val="3"/>
        </w:numPr>
        <w:overflowPunct w:val="0"/>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規範</w:t>
      </w:r>
      <w:r>
        <w:rPr>
          <w:rFonts w:ascii="標楷體" w:eastAsia="標楷體" w:hAnsi="標楷體" w:cs="標楷體"/>
          <w:bCs/>
          <w:sz w:val="28"/>
          <w:szCs w:val="32"/>
        </w:rPr>
        <w:t>營運機構應注意橋梁等週邊狀況，改善方式應洽相關單位辦理。</w:t>
      </w:r>
      <w:r>
        <w:rPr>
          <w:rFonts w:ascii="標楷體" w:eastAsia="標楷體" w:hAnsi="標楷體" w:cs="標楷體"/>
          <w:bCs/>
          <w:sz w:val="28"/>
          <w:szCs w:val="32"/>
        </w:rPr>
        <w:t>(</w:t>
      </w:r>
      <w:r>
        <w:rPr>
          <w:rFonts w:ascii="標楷體" w:eastAsia="標楷體" w:hAnsi="標楷體" w:cs="標楷體"/>
          <w:bCs/>
          <w:sz w:val="28"/>
          <w:szCs w:val="32"/>
        </w:rPr>
        <w:t>草案第十二條</w:t>
      </w:r>
      <w:r>
        <w:rPr>
          <w:rFonts w:ascii="標楷體" w:eastAsia="標楷體" w:hAnsi="標楷體" w:cs="標楷體"/>
          <w:bCs/>
          <w:sz w:val="28"/>
          <w:szCs w:val="32"/>
        </w:rPr>
        <w:t>)</w:t>
      </w:r>
    </w:p>
    <w:p w:rsidR="00207FE4" w:rsidRDefault="008533E9">
      <w:pPr>
        <w:pStyle w:val="a5"/>
        <w:numPr>
          <w:ilvl w:val="0"/>
          <w:numId w:val="3"/>
        </w:numPr>
        <w:overflowPunct w:val="0"/>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規範橋梁跨越之河流有異常情形時，應派員監控並記錄。</w:t>
      </w:r>
      <w:r>
        <w:rPr>
          <w:rFonts w:ascii="標楷體" w:eastAsia="標楷體" w:hAnsi="標楷體" w:cs="標楷體"/>
          <w:bCs/>
          <w:sz w:val="28"/>
          <w:szCs w:val="32"/>
        </w:rPr>
        <w:t>(</w:t>
      </w:r>
      <w:r>
        <w:rPr>
          <w:rFonts w:ascii="標楷體" w:eastAsia="標楷體" w:hAnsi="標楷體" w:cs="標楷體"/>
          <w:bCs/>
          <w:sz w:val="28"/>
          <w:szCs w:val="32"/>
        </w:rPr>
        <w:t>草案第十三條</w:t>
      </w:r>
      <w:r>
        <w:rPr>
          <w:rFonts w:ascii="標楷體" w:eastAsia="標楷體" w:hAnsi="標楷體" w:cs="標楷體"/>
          <w:bCs/>
          <w:sz w:val="28"/>
          <w:szCs w:val="32"/>
        </w:rPr>
        <w:t>)</w:t>
      </w:r>
    </w:p>
    <w:p w:rsidR="00207FE4" w:rsidRDefault="008533E9">
      <w:pPr>
        <w:pStyle w:val="a5"/>
        <w:numPr>
          <w:ilvl w:val="0"/>
          <w:numId w:val="3"/>
        </w:numPr>
        <w:overflowPunct w:val="0"/>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規範捷運場站的排水設施應保持暢通。</w:t>
      </w:r>
      <w:r>
        <w:rPr>
          <w:rFonts w:ascii="標楷體" w:eastAsia="標楷體" w:hAnsi="標楷體" w:cs="標楷體"/>
          <w:bCs/>
          <w:sz w:val="28"/>
          <w:szCs w:val="32"/>
        </w:rPr>
        <w:t>(</w:t>
      </w:r>
      <w:r>
        <w:rPr>
          <w:rFonts w:ascii="標楷體" w:eastAsia="標楷體" w:hAnsi="標楷體" w:cs="標楷體"/>
          <w:bCs/>
          <w:sz w:val="28"/>
          <w:szCs w:val="32"/>
        </w:rPr>
        <w:t>草案第十四條</w:t>
      </w:r>
      <w:r>
        <w:rPr>
          <w:rFonts w:ascii="標楷體" w:eastAsia="標楷體" w:hAnsi="標楷體" w:cs="標楷體"/>
          <w:bCs/>
          <w:sz w:val="28"/>
          <w:szCs w:val="32"/>
        </w:rPr>
        <w:t>)</w:t>
      </w:r>
    </w:p>
    <w:p w:rsidR="00207FE4" w:rsidRDefault="008533E9">
      <w:pPr>
        <w:pStyle w:val="a5"/>
        <w:numPr>
          <w:ilvl w:val="0"/>
          <w:numId w:val="3"/>
        </w:numPr>
        <w:overflowPunct w:val="0"/>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規範消防設施及其他附屬設備之檢修型式並應將其檢修紀錄保存以確保安全。</w:t>
      </w:r>
      <w:r>
        <w:rPr>
          <w:rFonts w:ascii="標楷體" w:eastAsia="標楷體" w:hAnsi="標楷體" w:cs="標楷體"/>
          <w:bCs/>
          <w:sz w:val="28"/>
          <w:szCs w:val="32"/>
        </w:rPr>
        <w:t>(</w:t>
      </w:r>
      <w:r>
        <w:rPr>
          <w:rFonts w:ascii="標楷體" w:eastAsia="標楷體" w:hAnsi="標楷體" w:cs="標楷體"/>
          <w:bCs/>
          <w:sz w:val="28"/>
          <w:szCs w:val="32"/>
        </w:rPr>
        <w:t>草案第十五條</w:t>
      </w:r>
      <w:r>
        <w:rPr>
          <w:rFonts w:ascii="標楷體" w:eastAsia="標楷體" w:hAnsi="標楷體" w:cs="標楷體"/>
          <w:bCs/>
          <w:sz w:val="28"/>
          <w:szCs w:val="32"/>
        </w:rPr>
        <w:t>)</w:t>
      </w:r>
    </w:p>
    <w:p w:rsidR="00207FE4" w:rsidRDefault="008533E9">
      <w:pPr>
        <w:pStyle w:val="a5"/>
        <w:numPr>
          <w:ilvl w:val="0"/>
          <w:numId w:val="3"/>
        </w:numPr>
        <w:overflowPunct w:val="0"/>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訂定機電設備之檢修型式。</w:t>
      </w:r>
      <w:r>
        <w:rPr>
          <w:rFonts w:ascii="標楷體" w:eastAsia="標楷體" w:hAnsi="標楷體" w:cs="標楷體"/>
          <w:bCs/>
          <w:sz w:val="28"/>
          <w:szCs w:val="32"/>
        </w:rPr>
        <w:t>(</w:t>
      </w:r>
      <w:r>
        <w:rPr>
          <w:rFonts w:ascii="標楷體" w:eastAsia="標楷體" w:hAnsi="標楷體" w:cs="標楷體"/>
          <w:bCs/>
          <w:sz w:val="28"/>
          <w:szCs w:val="32"/>
        </w:rPr>
        <w:t>草案第十六條</w:t>
      </w:r>
      <w:r>
        <w:rPr>
          <w:rFonts w:ascii="標楷體" w:eastAsia="標楷體" w:hAnsi="標楷體" w:cs="標楷體"/>
          <w:bCs/>
          <w:sz w:val="28"/>
          <w:szCs w:val="32"/>
        </w:rPr>
        <w:t>)</w:t>
      </w:r>
    </w:p>
    <w:p w:rsidR="00207FE4" w:rsidRDefault="008533E9">
      <w:pPr>
        <w:pStyle w:val="a5"/>
        <w:numPr>
          <w:ilvl w:val="0"/>
          <w:numId w:val="3"/>
        </w:numPr>
        <w:overflowPunct w:val="0"/>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規範營運機構應訂定機電設備檢修項目及週期，以確保營運品質</w:t>
      </w:r>
      <w:r>
        <w:rPr>
          <w:rFonts w:ascii="標楷體" w:eastAsia="標楷體" w:hAnsi="標楷體" w:cs="標楷體"/>
          <w:bCs/>
          <w:sz w:val="28"/>
          <w:szCs w:val="32"/>
        </w:rPr>
        <w:lastRenderedPageBreak/>
        <w:t>與安全。</w:t>
      </w:r>
      <w:r>
        <w:rPr>
          <w:rFonts w:ascii="標楷體" w:eastAsia="標楷體" w:hAnsi="標楷體" w:cs="標楷體"/>
          <w:bCs/>
          <w:sz w:val="28"/>
          <w:szCs w:val="32"/>
        </w:rPr>
        <w:t>(</w:t>
      </w:r>
      <w:r>
        <w:rPr>
          <w:rFonts w:ascii="標楷體" w:eastAsia="標楷體" w:hAnsi="標楷體" w:cs="標楷體"/>
          <w:bCs/>
          <w:sz w:val="28"/>
          <w:szCs w:val="32"/>
        </w:rPr>
        <w:t>草案第十七條</w:t>
      </w:r>
      <w:r>
        <w:rPr>
          <w:rFonts w:ascii="標楷體" w:eastAsia="標楷體" w:hAnsi="標楷體" w:cs="標楷體"/>
          <w:bCs/>
          <w:sz w:val="28"/>
          <w:szCs w:val="32"/>
        </w:rPr>
        <w:t>)</w:t>
      </w:r>
      <w:r>
        <w:rPr>
          <w:rFonts w:ascii="標楷體" w:eastAsia="標楷體" w:hAnsi="標楷體" w:cs="標楷體"/>
          <w:bCs/>
          <w:sz w:val="28"/>
          <w:szCs w:val="32"/>
        </w:rPr>
        <w:t>。</w:t>
      </w:r>
    </w:p>
    <w:p w:rsidR="00207FE4" w:rsidRDefault="008533E9">
      <w:pPr>
        <w:pStyle w:val="a5"/>
        <w:numPr>
          <w:ilvl w:val="0"/>
          <w:numId w:val="3"/>
        </w:numPr>
        <w:overflowPunct w:val="0"/>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訂定機電設備執行臨時檢修時機。</w:t>
      </w:r>
      <w:r>
        <w:rPr>
          <w:rFonts w:ascii="標楷體" w:eastAsia="標楷體" w:hAnsi="標楷體" w:cs="標楷體"/>
          <w:bCs/>
          <w:sz w:val="28"/>
          <w:szCs w:val="32"/>
        </w:rPr>
        <w:t>(</w:t>
      </w:r>
      <w:r>
        <w:rPr>
          <w:rFonts w:ascii="標楷體" w:eastAsia="標楷體" w:hAnsi="標楷體" w:cs="標楷體"/>
          <w:bCs/>
          <w:sz w:val="28"/>
          <w:szCs w:val="32"/>
        </w:rPr>
        <w:t>草案第十八條</w:t>
      </w:r>
      <w:r>
        <w:rPr>
          <w:rFonts w:ascii="標楷體" w:eastAsia="標楷體" w:hAnsi="標楷體" w:cs="標楷體"/>
          <w:bCs/>
          <w:sz w:val="28"/>
          <w:szCs w:val="32"/>
        </w:rPr>
        <w:t>)</w:t>
      </w:r>
    </w:p>
    <w:p w:rsidR="00207FE4" w:rsidRDefault="008533E9">
      <w:pPr>
        <w:pStyle w:val="a5"/>
        <w:numPr>
          <w:ilvl w:val="0"/>
          <w:numId w:val="3"/>
        </w:numPr>
        <w:overflowPunct w:val="0"/>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規範營運機構應確保營運品質與安全，並執行相關檢修規定。</w:t>
      </w:r>
      <w:r>
        <w:rPr>
          <w:rFonts w:ascii="標楷體" w:eastAsia="標楷體" w:hAnsi="標楷體" w:cs="標楷體"/>
          <w:bCs/>
          <w:sz w:val="28"/>
          <w:szCs w:val="32"/>
        </w:rPr>
        <w:t>(</w:t>
      </w:r>
      <w:r>
        <w:rPr>
          <w:rFonts w:ascii="標楷體" w:eastAsia="標楷體" w:hAnsi="標楷體" w:cs="標楷體"/>
          <w:bCs/>
          <w:sz w:val="28"/>
          <w:szCs w:val="32"/>
        </w:rPr>
        <w:t>草案第十九條</w:t>
      </w:r>
      <w:r>
        <w:rPr>
          <w:rFonts w:ascii="標楷體" w:eastAsia="標楷體" w:hAnsi="標楷體" w:cs="標楷體"/>
          <w:bCs/>
          <w:sz w:val="28"/>
          <w:szCs w:val="32"/>
        </w:rPr>
        <w:t>)</w:t>
      </w:r>
    </w:p>
    <w:p w:rsidR="00207FE4" w:rsidRDefault="008533E9">
      <w:pPr>
        <w:pStyle w:val="a5"/>
        <w:numPr>
          <w:ilvl w:val="0"/>
          <w:numId w:val="3"/>
        </w:numPr>
        <w:overflowPunct w:val="0"/>
        <w:spacing w:line="460" w:lineRule="exact"/>
        <w:ind w:left="840" w:hanging="840"/>
        <w:jc w:val="both"/>
        <w:rPr>
          <w:rFonts w:ascii="標楷體" w:eastAsia="標楷體" w:hAnsi="標楷體" w:cs="標楷體"/>
          <w:bCs/>
          <w:sz w:val="28"/>
          <w:szCs w:val="32"/>
        </w:rPr>
      </w:pPr>
      <w:r>
        <w:rPr>
          <w:rFonts w:ascii="標楷體" w:eastAsia="標楷體" w:hAnsi="標楷體" w:cs="標楷體"/>
          <w:bCs/>
          <w:sz w:val="28"/>
          <w:szCs w:val="32"/>
        </w:rPr>
        <w:t>為維護營運機構路線設施檢修品質與安全相關事宜，規定營運機構需訂定檢修規則。</w:t>
      </w:r>
      <w:r>
        <w:rPr>
          <w:rFonts w:ascii="標楷體" w:eastAsia="標楷體" w:hAnsi="標楷體" w:cs="標楷體"/>
          <w:bCs/>
          <w:sz w:val="28"/>
          <w:szCs w:val="32"/>
        </w:rPr>
        <w:t>(</w:t>
      </w:r>
      <w:r>
        <w:rPr>
          <w:rFonts w:ascii="標楷體" w:eastAsia="標楷體" w:hAnsi="標楷體" w:cs="標楷體"/>
          <w:bCs/>
          <w:sz w:val="28"/>
          <w:szCs w:val="32"/>
        </w:rPr>
        <w:t>草案第二十條</w:t>
      </w:r>
      <w:r>
        <w:rPr>
          <w:rFonts w:ascii="標楷體" w:eastAsia="標楷體" w:hAnsi="標楷體" w:cs="標楷體"/>
          <w:bCs/>
          <w:sz w:val="28"/>
          <w:szCs w:val="32"/>
        </w:rPr>
        <w:t>)</w:t>
      </w:r>
    </w:p>
    <w:p w:rsidR="00207FE4" w:rsidRDefault="008533E9">
      <w:pPr>
        <w:pStyle w:val="a5"/>
        <w:numPr>
          <w:ilvl w:val="0"/>
          <w:numId w:val="3"/>
        </w:numPr>
        <w:overflowPunct w:val="0"/>
        <w:spacing w:line="460" w:lineRule="exact"/>
        <w:ind w:left="1120" w:hanging="1120"/>
        <w:jc w:val="both"/>
        <w:rPr>
          <w:rFonts w:ascii="標楷體" w:eastAsia="標楷體" w:hAnsi="標楷體" w:cs="標楷體"/>
          <w:bCs/>
          <w:sz w:val="28"/>
          <w:szCs w:val="32"/>
        </w:rPr>
      </w:pPr>
      <w:r>
        <w:rPr>
          <w:rFonts w:ascii="標楷體" w:eastAsia="標楷體" w:hAnsi="標楷體" w:cs="標楷體"/>
          <w:bCs/>
          <w:sz w:val="28"/>
          <w:szCs w:val="32"/>
        </w:rPr>
        <w:t>本規則之施行日期。</w:t>
      </w:r>
      <w:r>
        <w:rPr>
          <w:rFonts w:ascii="標楷體" w:eastAsia="標楷體" w:hAnsi="標楷體" w:cs="標楷體"/>
          <w:bCs/>
          <w:sz w:val="28"/>
          <w:szCs w:val="32"/>
        </w:rPr>
        <w:t>(</w:t>
      </w:r>
      <w:r>
        <w:rPr>
          <w:rFonts w:ascii="標楷體" w:eastAsia="標楷體" w:hAnsi="標楷體" w:cs="標楷體"/>
          <w:bCs/>
          <w:sz w:val="28"/>
          <w:szCs w:val="32"/>
        </w:rPr>
        <w:t>草案第二十一條</w:t>
      </w:r>
      <w:r>
        <w:rPr>
          <w:rFonts w:ascii="標楷體" w:eastAsia="標楷體" w:hAnsi="標楷體" w:cs="標楷體"/>
          <w:bCs/>
          <w:sz w:val="28"/>
          <w:szCs w:val="32"/>
        </w:rPr>
        <w:t>)</w:t>
      </w:r>
    </w:p>
    <w:p w:rsidR="00207FE4" w:rsidRDefault="00207FE4"/>
    <w:p w:rsidR="00207FE4" w:rsidRDefault="008533E9">
      <w:pPr>
        <w:pageBreakBefore/>
        <w:widowControl/>
      </w:pPr>
      <w:r>
        <w:rPr>
          <w:rFonts w:ascii="標楷體" w:eastAsia="標楷體" w:hAnsi="標楷體"/>
          <w:sz w:val="40"/>
          <w:szCs w:val="40"/>
        </w:rPr>
        <w:lastRenderedPageBreak/>
        <w:t>臺中市大眾捷運系統修建養護規則草案</w:t>
      </w:r>
    </w:p>
    <w:tbl>
      <w:tblPr>
        <w:tblW w:w="9003" w:type="dxa"/>
        <w:tblInd w:w="-106" w:type="dxa"/>
        <w:tblCellMar>
          <w:left w:w="10" w:type="dxa"/>
          <w:right w:w="10" w:type="dxa"/>
        </w:tblCellMar>
        <w:tblLook w:val="0000" w:firstRow="0" w:lastRow="0" w:firstColumn="0" w:lastColumn="0" w:noHBand="0" w:noVBand="0"/>
      </w:tblPr>
      <w:tblGrid>
        <w:gridCol w:w="4467"/>
        <w:gridCol w:w="4536"/>
      </w:tblGrid>
      <w:tr w:rsidR="00207FE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jc w:val="center"/>
              <w:rPr>
                <w:rFonts w:ascii="標楷體" w:eastAsia="標楷體" w:hAnsi="標楷體" w:cs="標楷體"/>
                <w:bCs/>
                <w:szCs w:val="32"/>
              </w:rPr>
            </w:pPr>
            <w:r>
              <w:rPr>
                <w:rFonts w:ascii="標楷體" w:eastAsia="標楷體" w:hAnsi="標楷體" w:cs="標楷體"/>
                <w:bCs/>
                <w:szCs w:val="32"/>
              </w:rPr>
              <w:t>名稱</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jc w:val="center"/>
            </w:pPr>
            <w:r>
              <w:rPr>
                <w:rFonts w:ascii="標楷體" w:eastAsia="標楷體" w:hAnsi="標楷體" w:cs="標楷體"/>
                <w:bCs/>
                <w:szCs w:val="24"/>
              </w:rPr>
              <w:t>說明</w:t>
            </w:r>
          </w:p>
        </w:tc>
      </w:tr>
      <w:tr w:rsidR="00207FE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ind w:left="238" w:hanging="264"/>
              <w:jc w:val="both"/>
              <w:rPr>
                <w:rFonts w:ascii="標楷體" w:eastAsia="標楷體" w:hAnsi="標楷體"/>
                <w:szCs w:val="24"/>
              </w:rPr>
            </w:pPr>
            <w:r>
              <w:rPr>
                <w:rFonts w:ascii="標楷體" w:eastAsia="標楷體" w:hAnsi="標楷體"/>
                <w:szCs w:val="24"/>
              </w:rPr>
              <w:t>臺中市大眾捷運系統修建養護規則</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jc w:val="both"/>
              <w:rPr>
                <w:rFonts w:ascii="標楷體" w:eastAsia="標楷體" w:hAnsi="標楷體"/>
                <w:szCs w:val="24"/>
              </w:rPr>
            </w:pPr>
            <w:r>
              <w:rPr>
                <w:rFonts w:ascii="標楷體" w:eastAsia="標楷體" w:hAnsi="標楷體"/>
                <w:szCs w:val="24"/>
              </w:rPr>
              <w:t>法規名稱。</w:t>
            </w:r>
          </w:p>
        </w:tc>
      </w:tr>
      <w:tr w:rsidR="00207FE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jc w:val="center"/>
              <w:rPr>
                <w:rFonts w:ascii="標楷體" w:eastAsia="標楷體" w:hAnsi="標楷體" w:cs="標楷體"/>
                <w:bCs/>
                <w:szCs w:val="24"/>
              </w:rPr>
            </w:pPr>
            <w:r>
              <w:rPr>
                <w:rFonts w:ascii="標楷體" w:eastAsia="標楷體" w:hAnsi="標楷體" w:cs="標楷體"/>
                <w:bCs/>
                <w:szCs w:val="24"/>
              </w:rPr>
              <w:t>條文</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jc w:val="center"/>
            </w:pPr>
            <w:r>
              <w:rPr>
                <w:rFonts w:ascii="標楷體" w:eastAsia="標楷體" w:hAnsi="標楷體" w:cs="標楷體"/>
                <w:bCs/>
                <w:szCs w:val="24"/>
              </w:rPr>
              <w:t>說明</w:t>
            </w:r>
          </w:p>
        </w:tc>
      </w:tr>
      <w:tr w:rsidR="00207FE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overflowPunct w:val="0"/>
              <w:ind w:left="814" w:hanging="804"/>
              <w:jc w:val="both"/>
              <w:rPr>
                <w:rFonts w:ascii="標楷體" w:eastAsia="標楷體" w:hAnsi="標楷體"/>
                <w:szCs w:val="24"/>
              </w:rPr>
            </w:pPr>
            <w:r>
              <w:rPr>
                <w:rFonts w:ascii="標楷體" w:eastAsia="標楷體" w:hAnsi="標楷體"/>
                <w:szCs w:val="24"/>
              </w:rPr>
              <w:t>第一章</w:t>
            </w:r>
            <w:r>
              <w:rPr>
                <w:rFonts w:ascii="標楷體" w:eastAsia="標楷體" w:hAnsi="標楷體"/>
                <w:szCs w:val="24"/>
              </w:rPr>
              <w:t xml:space="preserve">  </w:t>
            </w:r>
            <w:r>
              <w:rPr>
                <w:rFonts w:ascii="標楷體" w:eastAsia="標楷體" w:hAnsi="標楷體"/>
                <w:szCs w:val="24"/>
              </w:rPr>
              <w:t>總則</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jc w:val="both"/>
              <w:rPr>
                <w:rFonts w:ascii="標楷體" w:eastAsia="標楷體" w:hAnsi="標楷體" w:cs="標楷體"/>
                <w:bCs/>
                <w:szCs w:val="24"/>
              </w:rPr>
            </w:pPr>
            <w:r>
              <w:rPr>
                <w:rFonts w:ascii="標楷體" w:eastAsia="標楷體" w:hAnsi="標楷體" w:cs="標楷體"/>
                <w:bCs/>
                <w:szCs w:val="24"/>
              </w:rPr>
              <w:t>章名。</w:t>
            </w:r>
          </w:p>
        </w:tc>
      </w:tr>
      <w:tr w:rsidR="00207FE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ind w:left="238" w:hanging="264"/>
              <w:jc w:val="both"/>
              <w:rPr>
                <w:rFonts w:ascii="標楷體" w:eastAsia="標楷體" w:hAnsi="標楷體"/>
                <w:szCs w:val="24"/>
              </w:rPr>
            </w:pPr>
            <w:r>
              <w:rPr>
                <w:rFonts w:ascii="標楷體" w:eastAsia="標楷體" w:hAnsi="標楷體"/>
                <w:szCs w:val="24"/>
              </w:rPr>
              <w:t>第一條</w:t>
            </w:r>
            <w:r>
              <w:rPr>
                <w:rFonts w:ascii="標楷體" w:eastAsia="標楷體" w:hAnsi="標楷體"/>
                <w:szCs w:val="24"/>
              </w:rPr>
              <w:t xml:space="preserve"> </w:t>
            </w:r>
            <w:r>
              <w:rPr>
                <w:rFonts w:ascii="標楷體" w:eastAsia="標楷體" w:hAnsi="標楷體"/>
                <w:szCs w:val="24"/>
              </w:rPr>
              <w:t>本規則依大眾捷運法第五十三條規定訂定之。</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07FE4" w:rsidRDefault="008533E9">
            <w:pPr>
              <w:jc w:val="both"/>
            </w:pPr>
            <w:r>
              <w:rPr>
                <w:rFonts w:ascii="標楷體" w:eastAsia="標楷體" w:hAnsi="標楷體" w:cs="標楷體"/>
                <w:bCs/>
                <w:szCs w:val="24"/>
              </w:rPr>
              <w:t>本規則制訂之法源依據。</w:t>
            </w:r>
          </w:p>
        </w:tc>
      </w:tr>
      <w:tr w:rsidR="00207FE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ind w:left="238" w:hanging="264"/>
              <w:jc w:val="both"/>
              <w:rPr>
                <w:rFonts w:ascii="標楷體" w:eastAsia="標楷體" w:hAnsi="標楷體"/>
                <w:szCs w:val="24"/>
              </w:rPr>
            </w:pPr>
            <w:bookmarkStart w:id="0" w:name="_Hlk484013793"/>
            <w:bookmarkStart w:id="1" w:name="_Hlk484013820"/>
            <w:r>
              <w:rPr>
                <w:rFonts w:ascii="標楷體" w:eastAsia="標楷體" w:hAnsi="標楷體"/>
                <w:szCs w:val="24"/>
              </w:rPr>
              <w:t>第二條</w:t>
            </w:r>
            <w:r>
              <w:rPr>
                <w:rFonts w:ascii="標楷體" w:eastAsia="標楷體" w:hAnsi="標楷體"/>
                <w:szCs w:val="24"/>
              </w:rPr>
              <w:t xml:space="preserve"> </w:t>
            </w:r>
            <w:r>
              <w:rPr>
                <w:rFonts w:ascii="標楷體" w:eastAsia="標楷體" w:hAnsi="標楷體"/>
                <w:szCs w:val="24"/>
              </w:rPr>
              <w:t>本規則以臺中市政府（以下簡</w:t>
            </w:r>
            <w:r>
              <w:rPr>
                <w:rFonts w:ascii="標楷體" w:eastAsia="標楷體" w:hAnsi="標楷體"/>
                <w:szCs w:val="24"/>
              </w:rPr>
              <w:t xml:space="preserve">  </w:t>
            </w:r>
            <w:r>
              <w:rPr>
                <w:rFonts w:ascii="標楷體" w:eastAsia="標楷體" w:hAnsi="標楷體"/>
                <w:szCs w:val="24"/>
              </w:rPr>
              <w:t>稱本府）主管之大眾捷運系統營運機構</w:t>
            </w:r>
            <w:r>
              <w:rPr>
                <w:rFonts w:ascii="標楷體" w:eastAsia="標楷體" w:hAnsi="標楷體"/>
                <w:szCs w:val="24"/>
              </w:rPr>
              <w:t>(</w:t>
            </w:r>
            <w:r>
              <w:rPr>
                <w:rFonts w:ascii="標楷體" w:eastAsia="標楷體" w:hAnsi="標楷體"/>
                <w:szCs w:val="24"/>
              </w:rPr>
              <w:t>以下簡稱營運機構</w:t>
            </w:r>
            <w:r>
              <w:rPr>
                <w:rFonts w:ascii="標楷體" w:eastAsia="標楷體" w:hAnsi="標楷體"/>
                <w:szCs w:val="24"/>
              </w:rPr>
              <w:t>)</w:t>
            </w:r>
            <w:r>
              <w:rPr>
                <w:rFonts w:ascii="標楷體" w:eastAsia="標楷體" w:hAnsi="標楷體"/>
                <w:szCs w:val="24"/>
              </w:rPr>
              <w:t>為適用範圍。</w:t>
            </w:r>
            <w:bookmarkEnd w:id="0"/>
            <w:bookmarkEnd w:id="1"/>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07FE4" w:rsidRDefault="008533E9">
            <w:pPr>
              <w:jc w:val="both"/>
            </w:pPr>
            <w:r>
              <w:rPr>
                <w:rFonts w:ascii="標楷體" w:eastAsia="標楷體" w:hAnsi="標楷體" w:cs="標楷體"/>
                <w:bCs/>
                <w:szCs w:val="24"/>
              </w:rPr>
              <w:t>本規則適用範圍。</w:t>
            </w:r>
          </w:p>
        </w:tc>
      </w:tr>
      <w:tr w:rsidR="00207FE4">
        <w:tblPrEx>
          <w:tblCellMar>
            <w:top w:w="0" w:type="dxa"/>
            <w:bottom w:w="0" w:type="dxa"/>
          </w:tblCellMar>
        </w:tblPrEx>
        <w:trPr>
          <w:trHeight w:val="2551"/>
        </w:trPr>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07FE4" w:rsidRDefault="008533E9">
            <w:pPr>
              <w:ind w:left="238" w:hanging="264"/>
              <w:jc w:val="both"/>
              <w:rPr>
                <w:rFonts w:ascii="標楷體" w:eastAsia="標楷體" w:hAnsi="標楷體"/>
                <w:szCs w:val="24"/>
              </w:rPr>
            </w:pPr>
            <w:r>
              <w:rPr>
                <w:rFonts w:ascii="標楷體" w:eastAsia="標楷體" w:hAnsi="標楷體"/>
                <w:szCs w:val="24"/>
              </w:rPr>
              <w:t>第三條</w:t>
            </w:r>
            <w:r>
              <w:rPr>
                <w:rFonts w:ascii="標楷體" w:eastAsia="標楷體" w:hAnsi="標楷體"/>
                <w:szCs w:val="24"/>
              </w:rPr>
              <w:t xml:space="preserve"> </w:t>
            </w:r>
            <w:r>
              <w:rPr>
                <w:rFonts w:ascii="標楷體" w:eastAsia="標楷體" w:hAnsi="標楷體"/>
                <w:szCs w:val="24"/>
              </w:rPr>
              <w:t>本規則用語，定義如下：</w:t>
            </w:r>
          </w:p>
          <w:p w:rsidR="00207FE4" w:rsidRDefault="008533E9">
            <w:pPr>
              <w:pStyle w:val="a5"/>
              <w:numPr>
                <w:ilvl w:val="0"/>
                <w:numId w:val="4"/>
              </w:numPr>
              <w:jc w:val="both"/>
              <w:rPr>
                <w:rFonts w:ascii="標楷體" w:eastAsia="標楷體" w:hAnsi="標楷體"/>
                <w:szCs w:val="24"/>
              </w:rPr>
            </w:pPr>
            <w:r>
              <w:rPr>
                <w:rFonts w:ascii="標楷體" w:eastAsia="標楷體" w:hAnsi="標楷體"/>
                <w:szCs w:val="24"/>
              </w:rPr>
              <w:t>路線設施：指捷運系統之路基、軌道、橋涵、隧道、車站、建築物及所附之消防設施與機電設備。</w:t>
            </w:r>
          </w:p>
          <w:p w:rsidR="00207FE4" w:rsidRDefault="008533E9">
            <w:pPr>
              <w:pStyle w:val="a5"/>
              <w:numPr>
                <w:ilvl w:val="0"/>
                <w:numId w:val="4"/>
              </w:numPr>
              <w:jc w:val="both"/>
              <w:rPr>
                <w:rFonts w:ascii="標楷體" w:eastAsia="標楷體" w:hAnsi="標楷體"/>
                <w:szCs w:val="24"/>
              </w:rPr>
            </w:pPr>
            <w:r>
              <w:rPr>
                <w:rFonts w:ascii="標楷體" w:eastAsia="標楷體" w:hAnsi="標楷體"/>
                <w:szCs w:val="24"/>
              </w:rPr>
              <w:t>機電設備：指捷運系統之供電、號誌、通訊、自動收費、環境控制、月台門、電梯、電扶梯及其相關設備。</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07FE4" w:rsidRDefault="008533E9">
            <w:pPr>
              <w:jc w:val="both"/>
            </w:pPr>
            <w:r>
              <w:rPr>
                <w:rFonts w:ascii="標楷體" w:eastAsia="標楷體" w:hAnsi="標楷體" w:cs="標楷體"/>
                <w:bCs/>
                <w:szCs w:val="24"/>
              </w:rPr>
              <w:t>明定路線設施、機電設備之種類型式。</w:t>
            </w:r>
          </w:p>
        </w:tc>
      </w:tr>
      <w:tr w:rsidR="00207FE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ind w:left="238" w:hanging="264"/>
              <w:jc w:val="both"/>
            </w:pPr>
            <w:r>
              <w:rPr>
                <w:rFonts w:ascii="標楷體" w:eastAsia="標楷體" w:hAnsi="標楷體"/>
                <w:szCs w:val="24"/>
              </w:rPr>
              <w:t>第四條</w:t>
            </w:r>
            <w:r>
              <w:rPr>
                <w:rFonts w:ascii="標楷體" w:eastAsia="標楷體" w:hAnsi="標楷體"/>
                <w:szCs w:val="24"/>
              </w:rPr>
              <w:t xml:space="preserve">  </w:t>
            </w:r>
            <w:r>
              <w:rPr>
                <w:rFonts w:ascii="標楷體" w:eastAsia="標楷體" w:hAnsi="標楷體"/>
                <w:szCs w:val="24"/>
              </w:rPr>
              <w:t>路線設施及機電設備之新設、改建或維修完畢者，應經營運機構檢查並確認功能正常，始得使用。</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07FE4" w:rsidRDefault="008533E9">
            <w:pPr>
              <w:jc w:val="both"/>
            </w:pPr>
            <w:r>
              <w:rPr>
                <w:rFonts w:ascii="標楷體" w:eastAsia="標楷體" w:hAnsi="標楷體" w:cs="標楷體"/>
                <w:bCs/>
                <w:szCs w:val="24"/>
              </w:rPr>
              <w:t>規範營運機構對於新設、改建路線設施</w:t>
            </w:r>
            <w:r>
              <w:rPr>
                <w:rFonts w:ascii="標楷體" w:eastAsia="標楷體" w:hAnsi="標楷體"/>
                <w:szCs w:val="24"/>
              </w:rPr>
              <w:t>及機電設備</w:t>
            </w:r>
            <w:r>
              <w:rPr>
                <w:rFonts w:ascii="標楷體" w:eastAsia="標楷體" w:hAnsi="標楷體" w:cs="標楷體"/>
                <w:bCs/>
                <w:szCs w:val="24"/>
              </w:rPr>
              <w:t>之使用限制。</w:t>
            </w:r>
          </w:p>
        </w:tc>
      </w:tr>
      <w:tr w:rsidR="00207FE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ind w:left="238" w:hanging="264"/>
              <w:jc w:val="both"/>
              <w:rPr>
                <w:rFonts w:ascii="標楷體" w:eastAsia="標楷體" w:hAnsi="標楷體"/>
                <w:szCs w:val="24"/>
              </w:rPr>
            </w:pPr>
            <w:r>
              <w:rPr>
                <w:rFonts w:ascii="標楷體" w:eastAsia="標楷體" w:hAnsi="標楷體"/>
                <w:szCs w:val="24"/>
              </w:rPr>
              <w:t>第五條</w:t>
            </w:r>
            <w:r>
              <w:rPr>
                <w:rFonts w:ascii="標楷體" w:eastAsia="標楷體" w:hAnsi="標楷體"/>
                <w:szCs w:val="24"/>
              </w:rPr>
              <w:t xml:space="preserve">  </w:t>
            </w:r>
            <w:r>
              <w:rPr>
                <w:rFonts w:ascii="標楷體" w:eastAsia="標楷體" w:hAnsi="標楷體"/>
                <w:szCs w:val="24"/>
              </w:rPr>
              <w:t>營運機構應就路線設施實施定期及不定期檢查，如發現異狀，應即時修理或採取防止事故之緊急措施。</w:t>
            </w:r>
          </w:p>
          <w:p w:rsidR="00207FE4" w:rsidRDefault="008533E9">
            <w:pPr>
              <w:ind w:left="240" w:firstLine="480"/>
              <w:jc w:val="both"/>
            </w:pPr>
            <w:r>
              <w:rPr>
                <w:rFonts w:ascii="標楷體" w:eastAsia="標楷體" w:hAnsi="標楷體"/>
                <w:szCs w:val="24"/>
              </w:rPr>
              <w:t>前項路線設施養護檢查情形，營運機構應記錄存查。</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07FE4" w:rsidRDefault="008533E9">
            <w:pPr>
              <w:jc w:val="both"/>
            </w:pPr>
            <w:r>
              <w:rPr>
                <w:rFonts w:ascii="標楷體" w:eastAsia="標楷體" w:hAnsi="標楷體" w:cs="標楷體"/>
                <w:bCs/>
                <w:szCs w:val="24"/>
              </w:rPr>
              <w:t>規範路線設施之檢修型式，營運機構應將其檢修紀錄存查。</w:t>
            </w:r>
          </w:p>
        </w:tc>
      </w:tr>
      <w:tr w:rsidR="00207FE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ind w:left="238" w:hanging="264"/>
              <w:jc w:val="both"/>
              <w:rPr>
                <w:rFonts w:ascii="標楷體" w:eastAsia="標楷體" w:hAnsi="標楷體"/>
                <w:szCs w:val="24"/>
              </w:rPr>
            </w:pPr>
            <w:r>
              <w:rPr>
                <w:rFonts w:ascii="標楷體" w:eastAsia="標楷體" w:hAnsi="標楷體"/>
                <w:szCs w:val="24"/>
              </w:rPr>
              <w:t>第六條</w:t>
            </w:r>
            <w:r>
              <w:rPr>
                <w:rFonts w:ascii="標楷體" w:eastAsia="標楷體" w:hAnsi="標楷體"/>
                <w:szCs w:val="24"/>
              </w:rPr>
              <w:t xml:space="preserve">  </w:t>
            </w:r>
            <w:r>
              <w:rPr>
                <w:rFonts w:ascii="標楷體" w:eastAsia="標楷體" w:hAnsi="標楷體"/>
                <w:szCs w:val="24"/>
              </w:rPr>
              <w:t>營運機構就路線設施每年應至少舉行總檢查一次。</w:t>
            </w:r>
          </w:p>
          <w:p w:rsidR="00207FE4" w:rsidRDefault="008533E9">
            <w:pPr>
              <w:ind w:left="240" w:firstLine="480"/>
              <w:jc w:val="both"/>
            </w:pPr>
            <w:r>
              <w:rPr>
                <w:rFonts w:ascii="標楷體" w:eastAsia="標楷體" w:hAnsi="標楷體"/>
                <w:szCs w:val="24"/>
              </w:rPr>
              <w:t>前項總檢查，應包括路線設施養護狀況、現時狀況及用料使用情形。</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07FE4" w:rsidRDefault="008533E9">
            <w:pPr>
              <w:jc w:val="both"/>
            </w:pPr>
            <w:r>
              <w:rPr>
                <w:rFonts w:ascii="標楷體" w:eastAsia="標楷體" w:hAnsi="標楷體" w:cs="標楷體"/>
                <w:bCs/>
                <w:szCs w:val="24"/>
              </w:rPr>
              <w:t>規範營運機構每年應執行總檢查一次，以確保路線設施養護品質。</w:t>
            </w:r>
          </w:p>
        </w:tc>
      </w:tr>
      <w:tr w:rsidR="00207FE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ind w:left="238" w:hanging="264"/>
              <w:jc w:val="both"/>
            </w:pPr>
            <w:r>
              <w:rPr>
                <w:rFonts w:ascii="標楷體" w:eastAsia="標楷體" w:hAnsi="標楷體"/>
                <w:szCs w:val="24"/>
              </w:rPr>
              <w:t>第二章</w:t>
            </w:r>
            <w:r>
              <w:rPr>
                <w:rFonts w:ascii="標楷體" w:eastAsia="標楷體" w:hAnsi="標楷體"/>
                <w:szCs w:val="24"/>
              </w:rPr>
              <w:t xml:space="preserve">  </w:t>
            </w:r>
            <w:r>
              <w:rPr>
                <w:rFonts w:ascii="標楷體" w:eastAsia="標楷體" w:hAnsi="標楷體"/>
                <w:szCs w:val="24"/>
              </w:rPr>
              <w:t>路基、軌道</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jc w:val="both"/>
              <w:rPr>
                <w:rFonts w:ascii="標楷體" w:eastAsia="標楷體" w:hAnsi="標楷體" w:cs="標楷體"/>
                <w:bCs/>
                <w:szCs w:val="24"/>
              </w:rPr>
            </w:pPr>
            <w:r>
              <w:rPr>
                <w:rFonts w:ascii="標楷體" w:eastAsia="標楷體" w:hAnsi="標楷體" w:cs="標楷體"/>
                <w:bCs/>
                <w:szCs w:val="24"/>
              </w:rPr>
              <w:t>章名。</w:t>
            </w:r>
          </w:p>
        </w:tc>
      </w:tr>
      <w:tr w:rsidR="00207FE4">
        <w:tblPrEx>
          <w:tblCellMar>
            <w:top w:w="0" w:type="dxa"/>
            <w:bottom w:w="0" w:type="dxa"/>
          </w:tblCellMar>
        </w:tblPrEx>
        <w:tc>
          <w:tcPr>
            <w:tcW w:w="4467" w:type="dxa"/>
            <w:tcBorders>
              <w:top w:val="single" w:sz="4" w:space="0" w:color="000000"/>
              <w:left w:val="single" w:sz="4"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ind w:left="238" w:hanging="264"/>
              <w:jc w:val="both"/>
            </w:pPr>
            <w:r>
              <w:rPr>
                <w:rFonts w:ascii="標楷體" w:eastAsia="標楷體" w:hAnsi="標楷體"/>
                <w:szCs w:val="24"/>
              </w:rPr>
              <w:t>第七條</w:t>
            </w:r>
            <w:r>
              <w:rPr>
                <w:rFonts w:ascii="標楷體" w:eastAsia="標楷體" w:hAnsi="標楷體"/>
                <w:szCs w:val="24"/>
              </w:rPr>
              <w:t xml:space="preserve">  </w:t>
            </w:r>
            <w:r>
              <w:rPr>
                <w:rFonts w:ascii="標楷體" w:eastAsia="標楷體" w:hAnsi="標楷體"/>
                <w:szCs w:val="24"/>
              </w:rPr>
              <w:t>路基、軌道檢修分為定期檢修及臨時檢修二種。</w:t>
            </w:r>
            <w:r>
              <w:rPr>
                <w:rFonts w:ascii="標楷體" w:hAnsi="標楷體"/>
                <w:szCs w:val="24"/>
              </w:rPr>
              <w:tab/>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07FE4" w:rsidRDefault="008533E9">
            <w:pPr>
              <w:jc w:val="both"/>
            </w:pPr>
            <w:r>
              <w:rPr>
                <w:rFonts w:ascii="標楷體" w:eastAsia="標楷體" w:hAnsi="標楷體" w:cs="標楷體"/>
                <w:bCs/>
                <w:szCs w:val="24"/>
              </w:rPr>
              <w:t>明定路基、軌道之檢修型式。</w:t>
            </w:r>
          </w:p>
        </w:tc>
      </w:tr>
      <w:tr w:rsidR="00207FE4">
        <w:tblPrEx>
          <w:tblCellMar>
            <w:top w:w="0" w:type="dxa"/>
            <w:bottom w:w="0" w:type="dxa"/>
          </w:tblCellMar>
        </w:tblPrEx>
        <w:tc>
          <w:tcPr>
            <w:tcW w:w="4467"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207FE4" w:rsidRDefault="008533E9">
            <w:pPr>
              <w:ind w:left="238" w:hanging="264"/>
              <w:jc w:val="both"/>
            </w:pPr>
            <w:r>
              <w:rPr>
                <w:rFonts w:ascii="標楷體" w:eastAsia="標楷體" w:hAnsi="標楷體"/>
                <w:szCs w:val="24"/>
              </w:rPr>
              <w:t>第八條</w:t>
            </w:r>
            <w:r>
              <w:rPr>
                <w:rFonts w:ascii="標楷體" w:eastAsia="標楷體" w:hAnsi="標楷體"/>
                <w:szCs w:val="24"/>
              </w:rPr>
              <w:t xml:space="preserve">  </w:t>
            </w:r>
            <w:r>
              <w:rPr>
                <w:rFonts w:ascii="標楷體" w:eastAsia="標楷體" w:hAnsi="標楷體"/>
                <w:szCs w:val="24"/>
              </w:rPr>
              <w:t>路基及</w:t>
            </w:r>
            <w:r>
              <w:rPr>
                <w:rFonts w:ascii="標楷體" w:eastAsia="標楷體" w:hAnsi="標楷體"/>
                <w:szCs w:val="24"/>
              </w:rPr>
              <w:t>軌道之定期檢修項目及週期，由營運機構依路基、軌道形式及運轉情況擬訂，報請本府核定。</w:t>
            </w:r>
          </w:p>
        </w:tc>
        <w:tc>
          <w:tcPr>
            <w:tcW w:w="4536" w:type="dxa"/>
            <w:tcBorders>
              <w:top w:val="single" w:sz="4"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tcPr>
          <w:p w:rsidR="00207FE4" w:rsidRDefault="008533E9">
            <w:pPr>
              <w:jc w:val="both"/>
              <w:rPr>
                <w:rFonts w:ascii="標楷體" w:eastAsia="標楷體" w:hAnsi="標楷體" w:cs="標楷體"/>
                <w:bCs/>
                <w:szCs w:val="24"/>
              </w:rPr>
            </w:pPr>
            <w:r>
              <w:rPr>
                <w:rFonts w:ascii="標楷體" w:eastAsia="標楷體" w:hAnsi="標楷體" w:cs="標楷體"/>
                <w:bCs/>
                <w:szCs w:val="24"/>
              </w:rPr>
              <w:t>規範營運機構應訂定路基、軌道檢修項目及週期，以確保營運品質與安全。</w:t>
            </w:r>
          </w:p>
        </w:tc>
      </w:tr>
      <w:tr w:rsidR="00207FE4">
        <w:tblPrEx>
          <w:tblCellMar>
            <w:top w:w="0" w:type="dxa"/>
            <w:bottom w:w="0" w:type="dxa"/>
          </w:tblCellMar>
        </w:tblPrEx>
        <w:tc>
          <w:tcPr>
            <w:tcW w:w="4467"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rsidR="00207FE4" w:rsidRDefault="008533E9">
            <w:pPr>
              <w:ind w:left="238" w:hanging="264"/>
              <w:jc w:val="both"/>
              <w:rPr>
                <w:rFonts w:ascii="標楷體" w:eastAsia="標楷體" w:hAnsi="標楷體"/>
                <w:szCs w:val="24"/>
              </w:rPr>
            </w:pPr>
            <w:r>
              <w:rPr>
                <w:rFonts w:ascii="標楷體" w:eastAsia="標楷體" w:hAnsi="標楷體"/>
                <w:szCs w:val="24"/>
              </w:rPr>
              <w:t>第九條</w:t>
            </w:r>
            <w:r>
              <w:rPr>
                <w:rFonts w:ascii="標楷體" w:eastAsia="標楷體" w:hAnsi="標楷體"/>
                <w:szCs w:val="24"/>
              </w:rPr>
              <w:t xml:space="preserve">  </w:t>
            </w:r>
            <w:r>
              <w:rPr>
                <w:rFonts w:ascii="標楷體" w:eastAsia="標楷體" w:hAnsi="標楷體"/>
                <w:szCs w:val="24"/>
              </w:rPr>
              <w:t>路基、軌道有下列情事之一者，營運機構應採取安全措施並實行臨時檢修：</w:t>
            </w:r>
          </w:p>
          <w:p w:rsidR="00207FE4" w:rsidRDefault="008533E9">
            <w:pPr>
              <w:pStyle w:val="a5"/>
              <w:numPr>
                <w:ilvl w:val="0"/>
                <w:numId w:val="5"/>
              </w:numPr>
              <w:jc w:val="both"/>
              <w:rPr>
                <w:rFonts w:ascii="標楷體" w:eastAsia="標楷體" w:hAnsi="標楷體"/>
                <w:szCs w:val="24"/>
              </w:rPr>
            </w:pPr>
            <w:r>
              <w:rPr>
                <w:rFonts w:ascii="標楷體" w:eastAsia="標楷體" w:hAnsi="標楷體"/>
                <w:szCs w:val="24"/>
              </w:rPr>
              <w:t>發生事故。</w:t>
            </w:r>
          </w:p>
          <w:p w:rsidR="00207FE4" w:rsidRDefault="008533E9">
            <w:pPr>
              <w:pStyle w:val="a5"/>
              <w:numPr>
                <w:ilvl w:val="0"/>
                <w:numId w:val="5"/>
              </w:numPr>
              <w:jc w:val="both"/>
              <w:rPr>
                <w:rFonts w:ascii="標楷體" w:eastAsia="標楷體" w:hAnsi="標楷體"/>
                <w:szCs w:val="24"/>
              </w:rPr>
            </w:pPr>
            <w:r>
              <w:rPr>
                <w:rFonts w:ascii="標楷體" w:eastAsia="標楷體" w:hAnsi="標楷體"/>
                <w:szCs w:val="24"/>
              </w:rPr>
              <w:t>發生故障或故障之虞。</w:t>
            </w:r>
          </w:p>
          <w:p w:rsidR="00207FE4" w:rsidRDefault="008533E9">
            <w:pPr>
              <w:pStyle w:val="a5"/>
              <w:numPr>
                <w:ilvl w:val="0"/>
                <w:numId w:val="5"/>
              </w:numPr>
              <w:jc w:val="both"/>
              <w:rPr>
                <w:rFonts w:ascii="標楷體" w:eastAsia="標楷體" w:hAnsi="標楷體"/>
                <w:szCs w:val="24"/>
              </w:rPr>
            </w:pPr>
            <w:r>
              <w:rPr>
                <w:rFonts w:ascii="標楷體" w:eastAsia="標楷體" w:hAnsi="標楷體"/>
                <w:szCs w:val="24"/>
              </w:rPr>
              <w:t>其他認為有檢修之必要。</w:t>
            </w:r>
          </w:p>
        </w:tc>
        <w:tc>
          <w:tcPr>
            <w:tcW w:w="4536" w:type="dxa"/>
            <w:tcBorders>
              <w:top w:val="single" w:sz="4"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tcPr>
          <w:p w:rsidR="00207FE4" w:rsidRDefault="008533E9">
            <w:pPr>
              <w:jc w:val="both"/>
            </w:pPr>
            <w:r>
              <w:rPr>
                <w:rFonts w:ascii="標楷體" w:eastAsia="標楷體" w:hAnsi="標楷體" w:cs="標楷體"/>
                <w:bCs/>
                <w:szCs w:val="24"/>
              </w:rPr>
              <w:t>規範路基、軌道執行臨時檢修時機。</w:t>
            </w:r>
          </w:p>
        </w:tc>
      </w:tr>
      <w:tr w:rsidR="00207FE4">
        <w:tblPrEx>
          <w:tblCellMar>
            <w:top w:w="0" w:type="dxa"/>
            <w:bottom w:w="0" w:type="dxa"/>
          </w:tblCellMar>
        </w:tblPrEx>
        <w:tc>
          <w:tcPr>
            <w:tcW w:w="4467" w:type="dxa"/>
            <w:tcBorders>
              <w:top w:val="single" w:sz="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ind w:left="238" w:hanging="264"/>
              <w:jc w:val="both"/>
            </w:pPr>
            <w:r>
              <w:rPr>
                <w:rFonts w:ascii="標楷體" w:eastAsia="標楷體" w:hAnsi="標楷體"/>
                <w:szCs w:val="24"/>
              </w:rPr>
              <w:lastRenderedPageBreak/>
              <w:t>第十條</w:t>
            </w:r>
            <w:r>
              <w:rPr>
                <w:rFonts w:ascii="標楷體" w:eastAsia="標楷體" w:hAnsi="標楷體"/>
                <w:szCs w:val="24"/>
              </w:rPr>
              <w:t xml:space="preserve">  </w:t>
            </w:r>
            <w:r>
              <w:rPr>
                <w:rFonts w:ascii="標楷體" w:eastAsia="標楷體" w:hAnsi="標楷體"/>
                <w:szCs w:val="24"/>
              </w:rPr>
              <w:t>路基、軌道設備，如因性能劣化、磨損已達規定限度或因故損傷破裂有危險之虞時，營運機構應予抽換更新之。</w:t>
            </w:r>
            <w:r>
              <w:rPr>
                <w:rFonts w:ascii="標楷體" w:hAnsi="標楷體"/>
                <w:szCs w:val="24"/>
              </w:rPr>
              <w:tab/>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07FE4" w:rsidRDefault="008533E9">
            <w:pPr>
              <w:jc w:val="both"/>
            </w:pPr>
            <w:r>
              <w:rPr>
                <w:rFonts w:ascii="標楷體" w:eastAsia="標楷體" w:hAnsi="標楷體" w:cs="標楷體"/>
                <w:bCs/>
                <w:szCs w:val="24"/>
              </w:rPr>
              <w:t>規範營運機構應確保營運品質與安全，並執行相關檢修規定。</w:t>
            </w:r>
          </w:p>
        </w:tc>
      </w:tr>
      <w:tr w:rsidR="00207FE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ind w:left="238" w:hanging="264"/>
              <w:jc w:val="both"/>
            </w:pPr>
            <w:r>
              <w:rPr>
                <w:rFonts w:ascii="標楷體" w:eastAsia="標楷體" w:hAnsi="標楷體"/>
                <w:szCs w:val="24"/>
              </w:rPr>
              <w:t>第三章</w:t>
            </w:r>
            <w:r>
              <w:rPr>
                <w:rFonts w:ascii="標楷體" w:eastAsia="標楷體" w:hAnsi="標楷體"/>
                <w:szCs w:val="24"/>
              </w:rPr>
              <w:t xml:space="preserve">  </w:t>
            </w:r>
            <w:r>
              <w:rPr>
                <w:rFonts w:ascii="標楷體" w:eastAsia="標楷體" w:hAnsi="標楷體"/>
                <w:szCs w:val="24"/>
              </w:rPr>
              <w:t>橋涵、隧道、車站</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jc w:val="both"/>
            </w:pPr>
            <w:r>
              <w:rPr>
                <w:rFonts w:ascii="標楷體" w:eastAsia="標楷體" w:hAnsi="標楷體" w:cs="標楷體"/>
                <w:bCs/>
                <w:szCs w:val="24"/>
              </w:rPr>
              <w:t>章名。</w:t>
            </w:r>
          </w:p>
        </w:tc>
      </w:tr>
      <w:tr w:rsidR="00207FE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ind w:left="238" w:hanging="264"/>
              <w:jc w:val="both"/>
            </w:pPr>
            <w:r>
              <w:rPr>
                <w:rFonts w:ascii="標楷體" w:eastAsia="標楷體" w:hAnsi="標楷體"/>
                <w:szCs w:val="24"/>
              </w:rPr>
              <w:t>第十一條</w:t>
            </w:r>
            <w:r>
              <w:rPr>
                <w:rFonts w:ascii="標楷體" w:eastAsia="標楷體" w:hAnsi="標楷體"/>
                <w:szCs w:val="24"/>
              </w:rPr>
              <w:t xml:space="preserve">  </w:t>
            </w:r>
            <w:r>
              <w:rPr>
                <w:rFonts w:ascii="標楷體" w:eastAsia="標楷體" w:hAnsi="標楷體"/>
                <w:szCs w:val="24"/>
              </w:rPr>
              <w:t>橋臺、橋墩或隧道如有下沉移動情形，營運機構應查明原因並設法加固改善。</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07FE4" w:rsidRDefault="008533E9">
            <w:pPr>
              <w:jc w:val="both"/>
              <w:rPr>
                <w:rFonts w:ascii="標楷體" w:eastAsia="標楷體" w:hAnsi="標楷體"/>
                <w:szCs w:val="24"/>
              </w:rPr>
            </w:pPr>
            <w:r>
              <w:rPr>
                <w:rFonts w:ascii="標楷體" w:eastAsia="標楷體" w:hAnsi="標楷體"/>
                <w:szCs w:val="24"/>
              </w:rPr>
              <w:t>規範橋梁隧道等如有異常，營運機構應查明原因並改善。</w:t>
            </w:r>
          </w:p>
        </w:tc>
      </w:tr>
      <w:tr w:rsidR="00207FE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ind w:left="238" w:hanging="264"/>
              <w:jc w:val="both"/>
            </w:pPr>
            <w:r>
              <w:rPr>
                <w:rFonts w:ascii="標楷體" w:eastAsia="標楷體" w:hAnsi="標楷體"/>
                <w:szCs w:val="24"/>
              </w:rPr>
              <w:t>第十二條</w:t>
            </w:r>
            <w:r>
              <w:rPr>
                <w:rFonts w:ascii="標楷體" w:eastAsia="標楷體" w:hAnsi="標楷體"/>
                <w:szCs w:val="24"/>
              </w:rPr>
              <w:t xml:space="preserve">  </w:t>
            </w:r>
            <w:r>
              <w:rPr>
                <w:rFonts w:ascii="標楷體" w:eastAsia="標楷體" w:hAnsi="標楷體"/>
                <w:szCs w:val="24"/>
              </w:rPr>
              <w:t>橋梁、涵洞之流水狀況、防護設施及上下游河道，營運機構均應注意檢查、修補、疏濬或洽請有關機關辦理。</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07FE4" w:rsidRDefault="008533E9">
            <w:pPr>
              <w:jc w:val="both"/>
              <w:rPr>
                <w:rFonts w:ascii="標楷體" w:eastAsia="標楷體" w:hAnsi="標楷體"/>
                <w:szCs w:val="24"/>
              </w:rPr>
            </w:pPr>
            <w:r>
              <w:rPr>
                <w:rFonts w:ascii="標楷體" w:eastAsia="標楷體" w:hAnsi="標楷體"/>
                <w:szCs w:val="24"/>
              </w:rPr>
              <w:t>規範營運機構應注意橋梁等週邊狀況，改善方式應洽有關單位辦理。</w:t>
            </w:r>
          </w:p>
        </w:tc>
      </w:tr>
      <w:tr w:rsidR="00207FE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ind w:left="238" w:hanging="264"/>
              <w:jc w:val="both"/>
            </w:pPr>
            <w:r>
              <w:rPr>
                <w:rFonts w:ascii="標楷體" w:eastAsia="標楷體" w:hAnsi="標楷體"/>
                <w:szCs w:val="24"/>
              </w:rPr>
              <w:t>第十三條</w:t>
            </w:r>
            <w:r>
              <w:rPr>
                <w:rFonts w:ascii="標楷體" w:eastAsia="標楷體" w:hAnsi="標楷體"/>
                <w:szCs w:val="24"/>
              </w:rPr>
              <w:t xml:space="preserve">  </w:t>
            </w:r>
            <w:r>
              <w:rPr>
                <w:rFonts w:ascii="標楷體" w:eastAsia="標楷體" w:hAnsi="標楷體"/>
                <w:szCs w:val="24"/>
              </w:rPr>
              <w:t>橋梁跨越之河流，每次洪水及漲水有超過警戒水位之虞者，營運機構應派員檢查記錄其水位，並勘查橋臺、橋墩附近河床狀態，繪圖記錄以供養護作業參考。</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07FE4" w:rsidRDefault="008533E9">
            <w:pPr>
              <w:jc w:val="both"/>
              <w:rPr>
                <w:rFonts w:ascii="標楷體" w:eastAsia="標楷體" w:hAnsi="標楷體"/>
                <w:szCs w:val="24"/>
              </w:rPr>
            </w:pPr>
            <w:r>
              <w:rPr>
                <w:rFonts w:ascii="標楷體" w:eastAsia="標楷體" w:hAnsi="標楷體"/>
                <w:szCs w:val="24"/>
              </w:rPr>
              <w:t>規範橋梁跨越之河流有異常情形時，營運機構應派員監控並記錄。</w:t>
            </w:r>
          </w:p>
        </w:tc>
      </w:tr>
      <w:tr w:rsidR="00207FE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ind w:left="238" w:hanging="264"/>
              <w:jc w:val="both"/>
            </w:pPr>
            <w:r>
              <w:rPr>
                <w:rFonts w:ascii="標楷體" w:eastAsia="標楷體" w:hAnsi="標楷體"/>
                <w:szCs w:val="24"/>
              </w:rPr>
              <w:t>第十四條</w:t>
            </w:r>
            <w:r>
              <w:rPr>
                <w:rFonts w:ascii="標楷體" w:eastAsia="標楷體" w:hAnsi="標楷體"/>
                <w:szCs w:val="24"/>
              </w:rPr>
              <w:t xml:space="preserve">  </w:t>
            </w:r>
            <w:r>
              <w:rPr>
                <w:rFonts w:ascii="標楷體" w:eastAsia="標楷體" w:hAnsi="標楷體"/>
                <w:szCs w:val="24"/>
              </w:rPr>
              <w:t>橋涵、隧道及車站之排水設備營運機構應經常檢修、保持排水通暢。</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07FE4" w:rsidRDefault="008533E9">
            <w:pPr>
              <w:jc w:val="both"/>
              <w:rPr>
                <w:rFonts w:ascii="標楷體" w:eastAsia="標楷體" w:hAnsi="標楷體"/>
                <w:szCs w:val="24"/>
              </w:rPr>
            </w:pPr>
            <w:r>
              <w:rPr>
                <w:rFonts w:ascii="標楷體" w:eastAsia="標楷體" w:hAnsi="標楷體"/>
                <w:szCs w:val="24"/>
              </w:rPr>
              <w:t>規範捷運場站的排水設施，營運機構應保持暢通。</w:t>
            </w:r>
          </w:p>
        </w:tc>
      </w:tr>
      <w:tr w:rsidR="00207FE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tabs>
                <w:tab w:val="left" w:pos="970"/>
                <w:tab w:val="left" w:pos="1282"/>
              </w:tabs>
              <w:ind w:left="238" w:hanging="264"/>
              <w:jc w:val="both"/>
            </w:pPr>
            <w:r>
              <w:rPr>
                <w:rFonts w:ascii="標楷體" w:eastAsia="標楷體" w:hAnsi="標楷體"/>
                <w:szCs w:val="24"/>
              </w:rPr>
              <w:t>第十五條</w:t>
            </w:r>
            <w:r>
              <w:rPr>
                <w:rFonts w:ascii="標楷體" w:eastAsia="標楷體" w:hAnsi="標楷體"/>
                <w:szCs w:val="24"/>
              </w:rPr>
              <w:t xml:space="preserve"> </w:t>
            </w:r>
            <w:r>
              <w:rPr>
                <w:rFonts w:ascii="標楷體" w:eastAsia="標楷體" w:hAnsi="標楷體"/>
                <w:szCs w:val="24"/>
              </w:rPr>
              <w:t>火災控制設施、緊急供電設備、緊急排煙設備、火警偵測系統、自動滅火設備及其他附屬設備，營運機構應實施定期及不定期檢修，並做成紀錄，如因性能劣化或因故毀損者，應予更新。</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07FE4" w:rsidRDefault="008533E9">
            <w:pPr>
              <w:jc w:val="both"/>
            </w:pPr>
            <w:r>
              <w:rPr>
                <w:rFonts w:ascii="標楷體" w:eastAsia="標楷體" w:hAnsi="標楷體" w:cs="標楷體"/>
                <w:bCs/>
                <w:szCs w:val="24"/>
              </w:rPr>
              <w:t>規範消防設施及其他附屬設備之檢修型式，</w:t>
            </w:r>
            <w:r>
              <w:rPr>
                <w:rFonts w:ascii="標楷體" w:eastAsia="標楷體" w:hAnsi="標楷體"/>
                <w:szCs w:val="24"/>
              </w:rPr>
              <w:t>營運機構</w:t>
            </w:r>
            <w:r>
              <w:rPr>
                <w:rFonts w:ascii="標楷體" w:eastAsia="標楷體" w:hAnsi="標楷體" w:cs="標楷體"/>
                <w:bCs/>
                <w:szCs w:val="24"/>
              </w:rPr>
              <w:t>並應將其檢修紀錄存查。</w:t>
            </w:r>
          </w:p>
          <w:p w:rsidR="00207FE4" w:rsidRDefault="00207FE4">
            <w:pPr>
              <w:jc w:val="both"/>
              <w:rPr>
                <w:rFonts w:ascii="標楷體" w:eastAsia="標楷體" w:hAnsi="標楷體"/>
                <w:szCs w:val="24"/>
              </w:rPr>
            </w:pPr>
          </w:p>
        </w:tc>
      </w:tr>
      <w:tr w:rsidR="00207FE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ind w:left="238" w:hanging="264"/>
              <w:jc w:val="both"/>
            </w:pPr>
            <w:r>
              <w:rPr>
                <w:rFonts w:ascii="標楷體" w:eastAsia="標楷體" w:hAnsi="標楷體"/>
                <w:szCs w:val="24"/>
              </w:rPr>
              <w:t>第四章</w:t>
            </w:r>
            <w:r>
              <w:rPr>
                <w:rFonts w:ascii="標楷體" w:eastAsia="標楷體" w:hAnsi="標楷體"/>
                <w:szCs w:val="24"/>
              </w:rPr>
              <w:t xml:space="preserve">  </w:t>
            </w:r>
            <w:r>
              <w:rPr>
                <w:rFonts w:ascii="標楷體" w:eastAsia="標楷體" w:hAnsi="標楷體"/>
                <w:szCs w:val="24"/>
              </w:rPr>
              <w:t>機電設備</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jc w:val="both"/>
              <w:rPr>
                <w:rFonts w:ascii="標楷體" w:eastAsia="標楷體" w:hAnsi="標楷體" w:cs="標楷體"/>
                <w:bCs/>
                <w:szCs w:val="24"/>
              </w:rPr>
            </w:pPr>
            <w:r>
              <w:rPr>
                <w:rFonts w:ascii="標楷體" w:eastAsia="標楷體" w:hAnsi="標楷體" w:cs="標楷體"/>
                <w:bCs/>
                <w:szCs w:val="24"/>
              </w:rPr>
              <w:t>章名。</w:t>
            </w:r>
          </w:p>
        </w:tc>
      </w:tr>
      <w:tr w:rsidR="00207FE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ind w:left="238" w:hanging="264"/>
              <w:jc w:val="both"/>
            </w:pPr>
            <w:r>
              <w:rPr>
                <w:rFonts w:ascii="標楷體" w:eastAsia="標楷體" w:hAnsi="標楷體"/>
                <w:szCs w:val="24"/>
              </w:rPr>
              <w:t>第十六條</w:t>
            </w:r>
            <w:r>
              <w:rPr>
                <w:rFonts w:ascii="標楷體" w:eastAsia="標楷體" w:hAnsi="標楷體"/>
                <w:szCs w:val="24"/>
              </w:rPr>
              <w:t xml:space="preserve">  </w:t>
            </w:r>
            <w:r>
              <w:rPr>
                <w:rFonts w:ascii="標楷體" w:eastAsia="標楷體" w:hAnsi="標楷體"/>
                <w:szCs w:val="24"/>
              </w:rPr>
              <w:t>機電設備檢修分為定期檢修及臨時檢修兩種。</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07FE4" w:rsidRDefault="008533E9">
            <w:pPr>
              <w:jc w:val="both"/>
            </w:pPr>
            <w:r>
              <w:rPr>
                <w:rFonts w:ascii="標楷體" w:eastAsia="標楷體" w:hAnsi="標楷體" w:cs="標楷體"/>
                <w:bCs/>
                <w:szCs w:val="24"/>
              </w:rPr>
              <w:t>明定機電設備之檢修型式。</w:t>
            </w:r>
          </w:p>
        </w:tc>
      </w:tr>
      <w:tr w:rsidR="00207FE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ind w:left="238" w:hanging="264"/>
              <w:jc w:val="both"/>
            </w:pPr>
            <w:r>
              <w:rPr>
                <w:rFonts w:ascii="標楷體" w:eastAsia="標楷體" w:hAnsi="標楷體"/>
                <w:szCs w:val="24"/>
              </w:rPr>
              <w:t>第十七條</w:t>
            </w:r>
            <w:r>
              <w:rPr>
                <w:rFonts w:ascii="標楷體" w:eastAsia="標楷體" w:hAnsi="標楷體"/>
                <w:szCs w:val="24"/>
              </w:rPr>
              <w:t xml:space="preserve">  </w:t>
            </w:r>
            <w:r>
              <w:rPr>
                <w:rFonts w:ascii="標楷體" w:eastAsia="標楷體" w:hAnsi="標楷體"/>
                <w:szCs w:val="24"/>
              </w:rPr>
              <w:t>營運機構應依機電設備使用狀況施行定期檢修，其檢修項目、週期，依各設備形式及使用狀況而定，其檢修作業由營運機構擬訂，報請本府核定。</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07FE4" w:rsidRDefault="008533E9">
            <w:pPr>
              <w:jc w:val="both"/>
            </w:pPr>
            <w:r>
              <w:rPr>
                <w:rFonts w:ascii="標楷體" w:eastAsia="標楷體" w:hAnsi="標楷體" w:cs="標楷體"/>
                <w:bCs/>
                <w:szCs w:val="24"/>
              </w:rPr>
              <w:t>規範營運機構應訂定機電設備檢修項目及週期，以確保營運品質與安全。</w:t>
            </w:r>
          </w:p>
        </w:tc>
      </w:tr>
      <w:tr w:rsidR="00207FE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ind w:left="238" w:hanging="264"/>
              <w:jc w:val="both"/>
              <w:rPr>
                <w:rFonts w:ascii="標楷體" w:eastAsia="標楷體" w:hAnsi="標楷體"/>
                <w:szCs w:val="24"/>
              </w:rPr>
            </w:pPr>
            <w:r>
              <w:rPr>
                <w:rFonts w:ascii="標楷體" w:eastAsia="標楷體" w:hAnsi="標楷體"/>
                <w:szCs w:val="24"/>
              </w:rPr>
              <w:t>第十八條</w:t>
            </w:r>
            <w:r>
              <w:rPr>
                <w:rFonts w:ascii="標楷體" w:eastAsia="標楷體" w:hAnsi="標楷體"/>
                <w:szCs w:val="24"/>
              </w:rPr>
              <w:t xml:space="preserve">  </w:t>
            </w:r>
            <w:r>
              <w:rPr>
                <w:rFonts w:ascii="標楷體" w:eastAsia="標楷體" w:hAnsi="標楷體"/>
                <w:szCs w:val="24"/>
              </w:rPr>
              <w:t>機電設備有下列情事之一者，營運機構應採取安全措施並實行臨時檢修：</w:t>
            </w:r>
          </w:p>
          <w:p w:rsidR="00207FE4" w:rsidRDefault="008533E9">
            <w:pPr>
              <w:pStyle w:val="a5"/>
              <w:numPr>
                <w:ilvl w:val="0"/>
                <w:numId w:val="6"/>
              </w:numPr>
              <w:ind w:left="722" w:hanging="482"/>
              <w:jc w:val="both"/>
              <w:rPr>
                <w:rFonts w:ascii="標楷體" w:eastAsia="標楷體" w:hAnsi="標楷體"/>
                <w:szCs w:val="24"/>
              </w:rPr>
            </w:pPr>
            <w:r>
              <w:rPr>
                <w:rFonts w:ascii="標楷體" w:eastAsia="標楷體" w:hAnsi="標楷體"/>
                <w:szCs w:val="24"/>
              </w:rPr>
              <w:t>發生事故。</w:t>
            </w:r>
          </w:p>
          <w:p w:rsidR="00207FE4" w:rsidRDefault="008533E9">
            <w:pPr>
              <w:pStyle w:val="a5"/>
              <w:numPr>
                <w:ilvl w:val="0"/>
                <w:numId w:val="6"/>
              </w:numPr>
              <w:ind w:left="722" w:hanging="482"/>
              <w:jc w:val="both"/>
              <w:rPr>
                <w:rFonts w:ascii="標楷體" w:eastAsia="標楷體" w:hAnsi="標楷體"/>
                <w:szCs w:val="24"/>
              </w:rPr>
            </w:pPr>
            <w:r>
              <w:rPr>
                <w:rFonts w:ascii="標楷體" w:eastAsia="標楷體" w:hAnsi="標楷體"/>
                <w:szCs w:val="24"/>
              </w:rPr>
              <w:t>發生故障或有故障之虞。</w:t>
            </w:r>
          </w:p>
          <w:p w:rsidR="00207FE4" w:rsidRDefault="008533E9">
            <w:pPr>
              <w:pStyle w:val="a5"/>
              <w:numPr>
                <w:ilvl w:val="0"/>
                <w:numId w:val="6"/>
              </w:numPr>
              <w:ind w:left="722" w:hanging="482"/>
              <w:jc w:val="both"/>
            </w:pPr>
            <w:r>
              <w:rPr>
                <w:rFonts w:ascii="標楷體" w:eastAsia="標楷體" w:hAnsi="標楷體"/>
                <w:szCs w:val="24"/>
              </w:rPr>
              <w:t>其他認為有檢修之必要。</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07FE4" w:rsidRDefault="008533E9">
            <w:pPr>
              <w:jc w:val="both"/>
            </w:pPr>
            <w:r>
              <w:rPr>
                <w:rFonts w:ascii="標楷體" w:eastAsia="標楷體" w:hAnsi="標楷體" w:cs="標楷體"/>
                <w:bCs/>
                <w:szCs w:val="24"/>
              </w:rPr>
              <w:t>規範</w:t>
            </w:r>
            <w:r>
              <w:rPr>
                <w:rFonts w:ascii="標楷體" w:eastAsia="標楷體" w:hAnsi="標楷體"/>
                <w:szCs w:val="24"/>
              </w:rPr>
              <w:t>營運機構應就</w:t>
            </w:r>
            <w:r>
              <w:rPr>
                <w:rFonts w:ascii="標楷體" w:eastAsia="標楷體" w:hAnsi="標楷體" w:cs="標楷體"/>
                <w:bCs/>
                <w:szCs w:val="24"/>
              </w:rPr>
              <w:t>機電設備執行臨時檢修時機。</w:t>
            </w:r>
          </w:p>
        </w:tc>
      </w:tr>
      <w:tr w:rsidR="00207FE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ind w:left="238" w:hanging="264"/>
              <w:jc w:val="both"/>
            </w:pPr>
            <w:r>
              <w:rPr>
                <w:rFonts w:ascii="標楷體" w:eastAsia="標楷體" w:hAnsi="標楷體"/>
                <w:szCs w:val="24"/>
              </w:rPr>
              <w:t>第十九條</w:t>
            </w:r>
            <w:r>
              <w:rPr>
                <w:rFonts w:ascii="標楷體" w:eastAsia="標楷體" w:hAnsi="標楷體"/>
                <w:szCs w:val="24"/>
              </w:rPr>
              <w:t xml:space="preserve">  </w:t>
            </w:r>
            <w:r>
              <w:rPr>
                <w:rFonts w:ascii="標楷體" w:eastAsia="標楷體" w:hAnsi="標楷體"/>
                <w:szCs w:val="24"/>
              </w:rPr>
              <w:t>機電設備，如因性能劣化或因故毀損者，</w:t>
            </w:r>
            <w:r>
              <w:rPr>
                <w:rFonts w:ascii="標楷體" w:eastAsia="標楷體" w:hAnsi="標楷體"/>
                <w:szCs w:val="24"/>
              </w:rPr>
              <w:t>營運機構應予換新。</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jc w:val="both"/>
            </w:pPr>
            <w:r>
              <w:rPr>
                <w:rFonts w:ascii="標楷體" w:eastAsia="標楷體" w:hAnsi="標楷體" w:cs="標楷體"/>
                <w:bCs/>
                <w:szCs w:val="24"/>
              </w:rPr>
              <w:t>規範營運機構應確保營運品質與安全，並執行相關檢修規定。</w:t>
            </w:r>
          </w:p>
        </w:tc>
      </w:tr>
      <w:tr w:rsidR="00207FE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pStyle w:val="a3"/>
              <w:spacing w:line="240" w:lineRule="auto"/>
              <w:ind w:left="1200" w:hanging="1200"/>
              <w:jc w:val="both"/>
              <w:rPr>
                <w:rFonts w:ascii="標楷體" w:hAnsi="標楷體"/>
                <w:sz w:val="24"/>
                <w:szCs w:val="24"/>
              </w:rPr>
            </w:pPr>
            <w:r>
              <w:rPr>
                <w:rFonts w:ascii="標楷體" w:hAnsi="標楷體"/>
                <w:sz w:val="24"/>
                <w:szCs w:val="24"/>
              </w:rPr>
              <w:t>第五章</w:t>
            </w:r>
            <w:r>
              <w:rPr>
                <w:rFonts w:ascii="標楷體" w:hAnsi="標楷體"/>
                <w:sz w:val="24"/>
                <w:szCs w:val="24"/>
              </w:rPr>
              <w:t xml:space="preserve">  </w:t>
            </w:r>
            <w:r>
              <w:rPr>
                <w:rFonts w:ascii="標楷體" w:hAnsi="標楷體"/>
                <w:sz w:val="24"/>
                <w:szCs w:val="24"/>
              </w:rPr>
              <w:t>附則</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jc w:val="both"/>
              <w:rPr>
                <w:rFonts w:ascii="標楷體" w:eastAsia="標楷體" w:hAnsi="標楷體" w:cs="標楷體"/>
                <w:bCs/>
                <w:szCs w:val="24"/>
              </w:rPr>
            </w:pPr>
            <w:r>
              <w:rPr>
                <w:rFonts w:ascii="標楷體" w:eastAsia="標楷體" w:hAnsi="標楷體" w:cs="標楷體"/>
                <w:bCs/>
                <w:szCs w:val="24"/>
              </w:rPr>
              <w:t>章名。</w:t>
            </w:r>
          </w:p>
        </w:tc>
      </w:tr>
      <w:tr w:rsidR="00207FE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ind w:left="238" w:hanging="264"/>
              <w:jc w:val="both"/>
            </w:pPr>
            <w:r>
              <w:rPr>
                <w:rFonts w:ascii="標楷體" w:eastAsia="標楷體" w:hAnsi="標楷體"/>
                <w:szCs w:val="24"/>
              </w:rPr>
              <w:lastRenderedPageBreak/>
              <w:t>第二十條</w:t>
            </w:r>
            <w:r>
              <w:rPr>
                <w:rFonts w:ascii="標楷體" w:eastAsia="標楷體" w:hAnsi="標楷體"/>
                <w:szCs w:val="24"/>
              </w:rPr>
              <w:t xml:space="preserve">  </w:t>
            </w:r>
            <w:r>
              <w:rPr>
                <w:rFonts w:ascii="標楷體" w:eastAsia="標楷體" w:hAnsi="標楷體"/>
                <w:szCs w:val="24"/>
              </w:rPr>
              <w:t>本規則實施作業規定由營運機構擬訂，報請本府核定。</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jc w:val="both"/>
              <w:rPr>
                <w:rFonts w:ascii="標楷體" w:eastAsia="標楷體" w:hAnsi="標楷體" w:cs="標楷體"/>
                <w:bCs/>
                <w:szCs w:val="24"/>
              </w:rPr>
            </w:pPr>
            <w:r>
              <w:rPr>
                <w:rFonts w:ascii="標楷體" w:eastAsia="標楷體" w:hAnsi="標楷體" w:cs="標楷體"/>
                <w:bCs/>
                <w:szCs w:val="24"/>
              </w:rPr>
              <w:t>為維護路線設施檢修品質與安全相關事宜，規定營運機構需訂定檢修規則。</w:t>
            </w:r>
          </w:p>
        </w:tc>
      </w:tr>
      <w:tr w:rsidR="00207FE4">
        <w:tblPrEx>
          <w:tblCellMar>
            <w:top w:w="0" w:type="dxa"/>
            <w:bottom w:w="0" w:type="dxa"/>
          </w:tblCellMar>
        </w:tblPrEx>
        <w:tc>
          <w:tcPr>
            <w:tcW w:w="4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ind w:left="238" w:hanging="264"/>
              <w:jc w:val="both"/>
            </w:pPr>
            <w:r>
              <w:rPr>
                <w:rFonts w:ascii="標楷體" w:eastAsia="標楷體" w:hAnsi="標楷體"/>
                <w:szCs w:val="24"/>
              </w:rPr>
              <w:t>第二十一條</w:t>
            </w:r>
            <w:r>
              <w:rPr>
                <w:rFonts w:ascii="標楷體" w:eastAsia="標楷體" w:hAnsi="標楷體"/>
                <w:szCs w:val="24"/>
              </w:rPr>
              <w:t xml:space="preserve">  </w:t>
            </w:r>
            <w:r>
              <w:rPr>
                <w:rFonts w:ascii="標楷體" w:eastAsia="標楷體" w:hAnsi="標楷體"/>
                <w:szCs w:val="24"/>
              </w:rPr>
              <w:t>本規則自發布日施行。</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07FE4" w:rsidRDefault="008533E9">
            <w:pPr>
              <w:jc w:val="both"/>
            </w:pPr>
            <w:r>
              <w:rPr>
                <w:rFonts w:ascii="標楷體" w:eastAsia="標楷體" w:hAnsi="標楷體" w:cs="標楷體"/>
                <w:bCs/>
                <w:szCs w:val="24"/>
              </w:rPr>
              <w:t>本規則之施行日期。</w:t>
            </w:r>
          </w:p>
        </w:tc>
      </w:tr>
    </w:tbl>
    <w:p w:rsidR="00207FE4" w:rsidRDefault="00207FE4">
      <w:pPr>
        <w:widowControl/>
        <w:rPr>
          <w:rFonts w:ascii="標楷體" w:eastAsia="標楷體" w:hAnsi="標楷體" w:cs="標楷體"/>
          <w:bCs/>
          <w:sz w:val="28"/>
          <w:szCs w:val="32"/>
        </w:rPr>
      </w:pPr>
    </w:p>
    <w:p w:rsidR="00207FE4" w:rsidRDefault="00207FE4">
      <w:pPr>
        <w:widowControl/>
        <w:rPr>
          <w:rFonts w:ascii="標楷體" w:eastAsia="標楷體" w:hAnsi="標楷體" w:cs="標楷體"/>
          <w:bCs/>
          <w:sz w:val="28"/>
          <w:szCs w:val="32"/>
        </w:rPr>
      </w:pPr>
    </w:p>
    <w:p w:rsidR="00207FE4" w:rsidRDefault="00207FE4">
      <w:pPr>
        <w:widowControl/>
        <w:rPr>
          <w:rFonts w:ascii="標楷體" w:eastAsia="標楷體" w:hAnsi="標楷體" w:cs="標楷體"/>
          <w:bCs/>
          <w:sz w:val="28"/>
          <w:szCs w:val="32"/>
        </w:rPr>
      </w:pPr>
    </w:p>
    <w:p w:rsidR="00207FE4" w:rsidRDefault="00207FE4">
      <w:pPr>
        <w:widowControl/>
        <w:rPr>
          <w:rFonts w:ascii="標楷體" w:eastAsia="標楷體" w:hAnsi="標楷體" w:cs="標楷體"/>
          <w:bCs/>
          <w:sz w:val="28"/>
          <w:szCs w:val="32"/>
        </w:rPr>
      </w:pPr>
    </w:p>
    <w:p w:rsidR="00207FE4" w:rsidRDefault="00207FE4">
      <w:pPr>
        <w:widowControl/>
        <w:rPr>
          <w:rFonts w:ascii="標楷體" w:eastAsia="標楷體" w:hAnsi="標楷體" w:cs="標楷體"/>
          <w:bCs/>
          <w:sz w:val="28"/>
          <w:szCs w:val="32"/>
        </w:rPr>
      </w:pPr>
    </w:p>
    <w:p w:rsidR="00207FE4" w:rsidRDefault="00207FE4">
      <w:pPr>
        <w:widowControl/>
        <w:rPr>
          <w:rFonts w:ascii="標楷體" w:eastAsia="標楷體" w:hAnsi="標楷體" w:cs="標楷體"/>
          <w:bCs/>
          <w:sz w:val="28"/>
          <w:szCs w:val="32"/>
        </w:rPr>
      </w:pPr>
    </w:p>
    <w:p w:rsidR="00207FE4" w:rsidRDefault="00207FE4">
      <w:pPr>
        <w:widowControl/>
        <w:rPr>
          <w:rFonts w:ascii="標楷體" w:eastAsia="標楷體" w:hAnsi="標楷體" w:cs="標楷體"/>
          <w:bCs/>
          <w:sz w:val="28"/>
          <w:szCs w:val="32"/>
        </w:rPr>
      </w:pPr>
    </w:p>
    <w:p w:rsidR="00207FE4" w:rsidRDefault="00207FE4">
      <w:pPr>
        <w:widowControl/>
        <w:rPr>
          <w:rFonts w:ascii="標楷體" w:eastAsia="標楷體" w:hAnsi="標楷體" w:cs="標楷體"/>
          <w:bCs/>
          <w:sz w:val="28"/>
          <w:szCs w:val="32"/>
        </w:rPr>
      </w:pPr>
    </w:p>
    <w:p w:rsidR="00207FE4" w:rsidRDefault="00207FE4">
      <w:pPr>
        <w:widowControl/>
        <w:rPr>
          <w:rFonts w:ascii="標楷體" w:eastAsia="標楷體" w:hAnsi="標楷體" w:cs="標楷體"/>
          <w:bCs/>
          <w:sz w:val="28"/>
          <w:szCs w:val="32"/>
        </w:rPr>
      </w:pPr>
    </w:p>
    <w:p w:rsidR="00207FE4" w:rsidRDefault="00207FE4">
      <w:pPr>
        <w:widowControl/>
        <w:rPr>
          <w:rFonts w:ascii="標楷體" w:eastAsia="標楷體" w:hAnsi="標楷體" w:cs="標楷體"/>
          <w:bCs/>
          <w:sz w:val="28"/>
          <w:szCs w:val="32"/>
        </w:rPr>
      </w:pPr>
    </w:p>
    <w:p w:rsidR="00207FE4" w:rsidRDefault="00207FE4">
      <w:pPr>
        <w:widowControl/>
        <w:rPr>
          <w:rFonts w:ascii="標楷體" w:eastAsia="標楷體" w:hAnsi="標楷體" w:cs="標楷體"/>
          <w:bCs/>
          <w:sz w:val="28"/>
          <w:szCs w:val="32"/>
        </w:rPr>
      </w:pPr>
    </w:p>
    <w:p w:rsidR="00207FE4" w:rsidRDefault="00207FE4">
      <w:pPr>
        <w:widowControl/>
        <w:rPr>
          <w:rFonts w:ascii="標楷體" w:eastAsia="標楷體" w:hAnsi="標楷體" w:cs="標楷體"/>
          <w:bCs/>
          <w:sz w:val="28"/>
          <w:szCs w:val="32"/>
        </w:rPr>
      </w:pPr>
    </w:p>
    <w:p w:rsidR="00207FE4" w:rsidRDefault="00207FE4">
      <w:pPr>
        <w:widowControl/>
        <w:rPr>
          <w:rFonts w:ascii="標楷體" w:eastAsia="標楷體" w:hAnsi="標楷體" w:cs="標楷體"/>
          <w:bCs/>
          <w:sz w:val="28"/>
          <w:szCs w:val="32"/>
        </w:rPr>
      </w:pPr>
    </w:p>
    <w:p w:rsidR="00C54796" w:rsidRDefault="00C54796">
      <w:pPr>
        <w:widowControl/>
        <w:rPr>
          <w:rFonts w:ascii="標楷體" w:eastAsia="標楷體" w:hAnsi="標楷體" w:cs="標楷體"/>
          <w:bCs/>
          <w:sz w:val="28"/>
          <w:szCs w:val="32"/>
        </w:rPr>
      </w:pPr>
    </w:p>
    <w:p w:rsidR="00C54796" w:rsidRDefault="00C54796">
      <w:pPr>
        <w:widowControl/>
        <w:rPr>
          <w:rFonts w:ascii="標楷體" w:eastAsia="標楷體" w:hAnsi="標楷體" w:cs="標楷體"/>
          <w:bCs/>
          <w:sz w:val="28"/>
          <w:szCs w:val="32"/>
        </w:rPr>
      </w:pPr>
    </w:p>
    <w:p w:rsidR="00C54796" w:rsidRDefault="00C54796">
      <w:pPr>
        <w:widowControl/>
        <w:rPr>
          <w:rFonts w:ascii="標楷體" w:eastAsia="標楷體" w:hAnsi="標楷體" w:cs="標楷體"/>
          <w:bCs/>
          <w:sz w:val="28"/>
          <w:szCs w:val="32"/>
        </w:rPr>
      </w:pPr>
    </w:p>
    <w:p w:rsidR="00C54796" w:rsidRDefault="00C54796">
      <w:pPr>
        <w:widowControl/>
        <w:rPr>
          <w:rFonts w:ascii="標楷體" w:eastAsia="標楷體" w:hAnsi="標楷體" w:cs="標楷體"/>
          <w:bCs/>
          <w:sz w:val="28"/>
          <w:szCs w:val="32"/>
        </w:rPr>
      </w:pPr>
    </w:p>
    <w:p w:rsidR="00C54796" w:rsidRDefault="00C54796">
      <w:pPr>
        <w:widowControl/>
        <w:rPr>
          <w:rFonts w:ascii="標楷體" w:eastAsia="標楷體" w:hAnsi="標楷體" w:cs="標楷體"/>
          <w:bCs/>
          <w:sz w:val="28"/>
          <w:szCs w:val="32"/>
        </w:rPr>
      </w:pPr>
    </w:p>
    <w:p w:rsidR="00C54796" w:rsidRDefault="00C54796">
      <w:pPr>
        <w:widowControl/>
        <w:rPr>
          <w:rFonts w:ascii="標楷體" w:eastAsia="標楷體" w:hAnsi="標楷體" w:cs="標楷體"/>
          <w:bCs/>
          <w:sz w:val="28"/>
          <w:szCs w:val="32"/>
        </w:rPr>
      </w:pPr>
    </w:p>
    <w:p w:rsidR="00C54796" w:rsidRDefault="00C54796">
      <w:pPr>
        <w:widowControl/>
        <w:rPr>
          <w:rFonts w:ascii="標楷體" w:eastAsia="標楷體" w:hAnsi="標楷體" w:cs="標楷體"/>
          <w:bCs/>
          <w:sz w:val="28"/>
          <w:szCs w:val="32"/>
        </w:rPr>
      </w:pPr>
    </w:p>
    <w:p w:rsidR="00C54796" w:rsidRDefault="00C54796">
      <w:pPr>
        <w:widowControl/>
        <w:rPr>
          <w:rFonts w:ascii="標楷體" w:eastAsia="標楷體" w:hAnsi="標楷體" w:cs="標楷體"/>
          <w:bCs/>
          <w:sz w:val="28"/>
          <w:szCs w:val="32"/>
        </w:rPr>
      </w:pPr>
    </w:p>
    <w:p w:rsidR="00C54796" w:rsidRDefault="00C54796">
      <w:pPr>
        <w:widowControl/>
        <w:rPr>
          <w:rFonts w:ascii="標楷體" w:eastAsia="標楷體" w:hAnsi="標楷體" w:cs="標楷體"/>
          <w:bCs/>
          <w:sz w:val="28"/>
          <w:szCs w:val="32"/>
        </w:rPr>
      </w:pPr>
    </w:p>
    <w:p w:rsidR="00C54796" w:rsidRDefault="00C54796">
      <w:pPr>
        <w:widowControl/>
        <w:rPr>
          <w:rFonts w:ascii="標楷體" w:eastAsia="標楷體" w:hAnsi="標楷體" w:cs="標楷體"/>
          <w:bCs/>
          <w:sz w:val="28"/>
          <w:szCs w:val="32"/>
        </w:rPr>
      </w:pPr>
    </w:p>
    <w:p w:rsidR="00C54796" w:rsidRDefault="00C54796">
      <w:pPr>
        <w:widowControl/>
        <w:rPr>
          <w:rFonts w:ascii="標楷體" w:eastAsia="標楷體" w:hAnsi="標楷體" w:cs="標楷體"/>
          <w:bCs/>
          <w:sz w:val="28"/>
          <w:szCs w:val="32"/>
        </w:rPr>
      </w:pPr>
    </w:p>
    <w:p w:rsidR="00C54796" w:rsidRDefault="00C54796">
      <w:pPr>
        <w:widowControl/>
        <w:rPr>
          <w:rFonts w:ascii="標楷體" w:eastAsia="標楷體" w:hAnsi="標楷體" w:cs="標楷體"/>
          <w:bCs/>
          <w:sz w:val="28"/>
          <w:szCs w:val="32"/>
        </w:rPr>
      </w:pPr>
    </w:p>
    <w:p w:rsidR="00C54796" w:rsidRDefault="00C54796">
      <w:pPr>
        <w:widowControl/>
        <w:rPr>
          <w:rFonts w:ascii="標楷體" w:eastAsia="標楷體" w:hAnsi="標楷體" w:cs="標楷體"/>
          <w:bCs/>
          <w:sz w:val="28"/>
          <w:szCs w:val="32"/>
        </w:rPr>
      </w:pPr>
    </w:p>
    <w:p w:rsidR="00C54796" w:rsidRDefault="00C54796">
      <w:pPr>
        <w:widowControl/>
        <w:rPr>
          <w:rFonts w:ascii="標楷體" w:eastAsia="標楷體" w:hAnsi="標楷體" w:cs="標楷體"/>
          <w:bCs/>
          <w:sz w:val="28"/>
          <w:szCs w:val="32"/>
        </w:rPr>
      </w:pPr>
    </w:p>
    <w:p w:rsidR="00C54796" w:rsidRDefault="00C54796">
      <w:pPr>
        <w:widowControl/>
        <w:rPr>
          <w:rFonts w:ascii="標楷體" w:eastAsia="標楷體" w:hAnsi="標楷體" w:cs="標楷體"/>
          <w:bCs/>
          <w:sz w:val="28"/>
          <w:szCs w:val="32"/>
        </w:rPr>
      </w:pPr>
    </w:p>
    <w:p w:rsidR="00C54796" w:rsidRDefault="00C54796">
      <w:pPr>
        <w:widowControl/>
        <w:rPr>
          <w:rFonts w:ascii="標楷體" w:eastAsia="標楷體" w:hAnsi="標楷體" w:cs="標楷體"/>
          <w:bCs/>
          <w:sz w:val="28"/>
          <w:szCs w:val="32"/>
        </w:rPr>
      </w:pPr>
    </w:p>
    <w:p w:rsidR="00C54796" w:rsidRDefault="00C54796">
      <w:pPr>
        <w:widowControl/>
        <w:rPr>
          <w:rFonts w:ascii="標楷體" w:eastAsia="標楷體" w:hAnsi="標楷體" w:cs="標楷體"/>
          <w:bCs/>
          <w:sz w:val="28"/>
          <w:szCs w:val="32"/>
        </w:rPr>
      </w:pPr>
    </w:p>
    <w:p w:rsidR="00C54796" w:rsidRDefault="00C54796">
      <w:pPr>
        <w:widowControl/>
        <w:rPr>
          <w:rFonts w:ascii="標楷體" w:eastAsia="標楷體" w:hAnsi="標楷體" w:cs="標楷體"/>
          <w:bCs/>
          <w:sz w:val="28"/>
          <w:szCs w:val="32"/>
        </w:rPr>
      </w:pPr>
    </w:p>
    <w:p w:rsidR="00C54796" w:rsidRDefault="00C54796">
      <w:pPr>
        <w:widowControl/>
        <w:rPr>
          <w:rFonts w:ascii="標楷體" w:eastAsia="標楷體" w:hAnsi="標楷體" w:cs="標楷體"/>
          <w:bCs/>
          <w:sz w:val="28"/>
          <w:szCs w:val="32"/>
        </w:rPr>
      </w:pPr>
    </w:p>
    <w:p w:rsidR="00C54796" w:rsidRDefault="00C54796">
      <w:pPr>
        <w:widowControl/>
        <w:rPr>
          <w:rFonts w:ascii="標楷體" w:eastAsia="標楷體" w:hAnsi="標楷體" w:cs="標楷體"/>
          <w:bCs/>
          <w:sz w:val="28"/>
          <w:szCs w:val="32"/>
        </w:rPr>
      </w:pPr>
    </w:p>
    <w:p w:rsidR="00C54796" w:rsidRDefault="00C54796">
      <w:pPr>
        <w:widowControl/>
        <w:rPr>
          <w:rFonts w:ascii="標楷體" w:eastAsia="標楷體" w:hAnsi="標楷體" w:cs="標楷體"/>
          <w:bCs/>
          <w:sz w:val="28"/>
          <w:szCs w:val="32"/>
        </w:rPr>
      </w:pPr>
    </w:p>
    <w:p w:rsidR="00C54796" w:rsidRDefault="00C54796">
      <w:pPr>
        <w:widowControl/>
        <w:rPr>
          <w:rFonts w:ascii="標楷體" w:eastAsia="標楷體" w:hAnsi="標楷體" w:cs="標楷體"/>
          <w:bCs/>
          <w:sz w:val="28"/>
          <w:szCs w:val="32"/>
        </w:rPr>
      </w:pPr>
    </w:p>
    <w:p w:rsidR="00C54796" w:rsidRPr="00C54796" w:rsidRDefault="00C54796" w:rsidP="00C54796">
      <w:pPr>
        <w:snapToGrid w:val="0"/>
        <w:spacing w:line="460" w:lineRule="exact"/>
        <w:ind w:left="840" w:hanging="840"/>
        <w:jc w:val="both"/>
        <w:rPr>
          <w:rFonts w:eastAsia="標楷體" w:hint="eastAsia"/>
          <w:b/>
          <w:sz w:val="40"/>
          <w:szCs w:val="40"/>
        </w:rPr>
      </w:pPr>
      <w:bookmarkStart w:id="2" w:name="_Hlk484013781"/>
      <w:bookmarkStart w:id="3" w:name="_Hlk484013831"/>
      <w:bookmarkStart w:id="4" w:name="_Hlk484013897"/>
      <w:bookmarkStart w:id="5" w:name="_Hlk484013924"/>
      <w:bookmarkStart w:id="6" w:name="_GoBack"/>
      <w:r w:rsidRPr="00C54796">
        <w:rPr>
          <w:rFonts w:eastAsia="標楷體" w:hint="eastAsia"/>
          <w:b/>
          <w:sz w:val="40"/>
          <w:szCs w:val="40"/>
        </w:rPr>
        <w:lastRenderedPageBreak/>
        <w:t>臺中市大眾捷運系統修建養護規則草案</w:t>
      </w:r>
    </w:p>
    <w:bookmarkEnd w:id="6"/>
    <w:p w:rsidR="00C54796" w:rsidRPr="00C54796" w:rsidRDefault="00C54796" w:rsidP="00C54796">
      <w:pPr>
        <w:pStyle w:val="a5"/>
        <w:numPr>
          <w:ilvl w:val="0"/>
          <w:numId w:val="10"/>
        </w:numPr>
        <w:snapToGrid w:val="0"/>
        <w:spacing w:line="460" w:lineRule="exact"/>
        <w:jc w:val="both"/>
        <w:rPr>
          <w:rFonts w:eastAsia="標楷體"/>
          <w:b/>
          <w:sz w:val="28"/>
          <w:szCs w:val="28"/>
        </w:rPr>
      </w:pPr>
      <w:r w:rsidRPr="00C54796">
        <w:rPr>
          <w:rFonts w:eastAsia="標楷體" w:hint="eastAsia"/>
          <w:b/>
          <w:sz w:val="28"/>
          <w:szCs w:val="28"/>
        </w:rPr>
        <w:t>總</w:t>
      </w:r>
      <w:r w:rsidRPr="00C54796">
        <w:rPr>
          <w:rFonts w:eastAsia="標楷體" w:hint="eastAsia"/>
          <w:b/>
          <w:sz w:val="28"/>
          <w:szCs w:val="28"/>
        </w:rPr>
        <w:t xml:space="preserve">  </w:t>
      </w:r>
      <w:r w:rsidRPr="00C54796">
        <w:rPr>
          <w:rFonts w:eastAsia="標楷體" w:hint="eastAsia"/>
          <w:b/>
          <w:sz w:val="28"/>
          <w:szCs w:val="28"/>
        </w:rPr>
        <w:t>則</w:t>
      </w:r>
    </w:p>
    <w:p w:rsidR="00207FE4" w:rsidRPr="00C54796" w:rsidRDefault="008533E9" w:rsidP="00C54796">
      <w:pPr>
        <w:snapToGrid w:val="0"/>
        <w:spacing w:line="460" w:lineRule="exact"/>
        <w:jc w:val="both"/>
        <w:rPr>
          <w:rFonts w:ascii="標楷體" w:eastAsia="標楷體" w:hAnsi="標楷體" w:cs="新細明體"/>
          <w:kern w:val="0"/>
          <w:sz w:val="28"/>
          <w:szCs w:val="28"/>
        </w:rPr>
      </w:pPr>
      <w:r w:rsidRPr="00C54796">
        <w:rPr>
          <w:rFonts w:ascii="標楷體" w:eastAsia="標楷體" w:hAnsi="標楷體" w:cs="新細明體"/>
          <w:kern w:val="0"/>
          <w:sz w:val="28"/>
          <w:szCs w:val="28"/>
        </w:rPr>
        <w:t>第一條</w:t>
      </w:r>
      <w:r w:rsidRPr="00C54796">
        <w:rPr>
          <w:rFonts w:ascii="標楷體" w:eastAsia="標楷體" w:hAnsi="標楷體" w:cs="新細明體"/>
          <w:kern w:val="0"/>
          <w:sz w:val="28"/>
          <w:szCs w:val="28"/>
        </w:rPr>
        <w:t xml:space="preserve">    </w:t>
      </w:r>
      <w:r w:rsidRPr="00C54796">
        <w:rPr>
          <w:rFonts w:ascii="標楷體" w:eastAsia="標楷體" w:hAnsi="標楷體" w:cs="新細明體"/>
          <w:kern w:val="0"/>
          <w:sz w:val="28"/>
          <w:szCs w:val="28"/>
        </w:rPr>
        <w:t>本規則依大眾捷運法第五十三條規定訂定之。</w:t>
      </w:r>
      <w:bookmarkEnd w:id="2"/>
    </w:p>
    <w:bookmarkEnd w:id="3"/>
    <w:p w:rsidR="00207FE4" w:rsidRDefault="008533E9">
      <w:pPr>
        <w:snapToGrid w:val="0"/>
        <w:spacing w:line="460" w:lineRule="exact"/>
        <w:ind w:left="840" w:hanging="840"/>
        <w:jc w:val="both"/>
        <w:rPr>
          <w:rFonts w:ascii="標楷體" w:eastAsia="標楷體" w:hAnsi="標楷體" w:cs="新細明體"/>
          <w:kern w:val="0"/>
          <w:sz w:val="28"/>
          <w:szCs w:val="28"/>
        </w:rPr>
      </w:pPr>
      <w:r>
        <w:rPr>
          <w:rFonts w:ascii="標楷體" w:eastAsia="標楷體" w:hAnsi="標楷體" w:cs="新細明體"/>
          <w:kern w:val="0"/>
          <w:sz w:val="28"/>
          <w:szCs w:val="28"/>
        </w:rPr>
        <w:t>第</w:t>
      </w:r>
      <w:r>
        <w:rPr>
          <w:rFonts w:ascii="標楷體" w:eastAsia="標楷體" w:hAnsi="標楷體" w:cs="新細明體"/>
          <w:kern w:val="0"/>
          <w:sz w:val="28"/>
          <w:szCs w:val="28"/>
        </w:rPr>
        <w:t>二條</w:t>
      </w:r>
      <w:r>
        <w:rPr>
          <w:rFonts w:ascii="標楷體" w:eastAsia="標楷體" w:hAnsi="標楷體" w:cs="新細明體"/>
          <w:kern w:val="0"/>
          <w:sz w:val="28"/>
          <w:szCs w:val="28"/>
        </w:rPr>
        <w:t xml:space="preserve">    </w:t>
      </w:r>
      <w:bookmarkStart w:id="7" w:name="_Hlk484013728"/>
      <w:r>
        <w:rPr>
          <w:rFonts w:ascii="標楷體" w:eastAsia="標楷體" w:hAnsi="標楷體" w:cs="新細明體"/>
          <w:kern w:val="0"/>
          <w:sz w:val="28"/>
          <w:szCs w:val="28"/>
        </w:rPr>
        <w:t>本規則以臺中市政府（以下簡稱本府）主管之大眾捷運系統營運機構</w:t>
      </w:r>
      <w:r>
        <w:rPr>
          <w:rFonts w:ascii="標楷體" w:eastAsia="標楷體" w:hAnsi="標楷體" w:cs="新細明體"/>
          <w:kern w:val="0"/>
          <w:sz w:val="28"/>
          <w:szCs w:val="28"/>
        </w:rPr>
        <w:t>(</w:t>
      </w:r>
      <w:r>
        <w:rPr>
          <w:rFonts w:ascii="標楷體" w:eastAsia="標楷體" w:hAnsi="標楷體" w:cs="新細明體"/>
          <w:kern w:val="0"/>
          <w:sz w:val="28"/>
          <w:szCs w:val="28"/>
        </w:rPr>
        <w:t>以下簡稱營運機構</w:t>
      </w:r>
      <w:r>
        <w:rPr>
          <w:rFonts w:ascii="標楷體" w:eastAsia="標楷體" w:hAnsi="標楷體" w:cs="新細明體"/>
          <w:kern w:val="0"/>
          <w:sz w:val="28"/>
          <w:szCs w:val="28"/>
        </w:rPr>
        <w:t>)</w:t>
      </w:r>
      <w:r>
        <w:rPr>
          <w:rFonts w:ascii="標楷體" w:eastAsia="標楷體" w:hAnsi="標楷體" w:cs="新細明體"/>
          <w:kern w:val="0"/>
          <w:sz w:val="28"/>
          <w:szCs w:val="28"/>
        </w:rPr>
        <w:t>為適用範圍。</w:t>
      </w:r>
    </w:p>
    <w:p w:rsidR="00207FE4" w:rsidRDefault="008533E9">
      <w:pPr>
        <w:snapToGrid w:val="0"/>
        <w:spacing w:line="460" w:lineRule="exact"/>
        <w:ind w:left="840" w:hanging="840"/>
        <w:jc w:val="both"/>
        <w:rPr>
          <w:rFonts w:ascii="標楷體" w:eastAsia="標楷體" w:hAnsi="標楷體" w:cs="新細明體"/>
          <w:kern w:val="0"/>
          <w:sz w:val="28"/>
          <w:szCs w:val="28"/>
        </w:rPr>
      </w:pPr>
      <w:r>
        <w:rPr>
          <w:rFonts w:ascii="標楷體" w:eastAsia="標楷體" w:hAnsi="標楷體" w:cs="新細明體"/>
          <w:kern w:val="0"/>
          <w:sz w:val="28"/>
          <w:szCs w:val="28"/>
        </w:rPr>
        <w:t>第三條</w:t>
      </w:r>
      <w:r>
        <w:rPr>
          <w:rFonts w:ascii="標楷體" w:eastAsia="標楷體" w:hAnsi="標楷體" w:cs="新細明體"/>
          <w:kern w:val="0"/>
          <w:sz w:val="28"/>
          <w:szCs w:val="28"/>
        </w:rPr>
        <w:t xml:space="preserve">    </w:t>
      </w:r>
      <w:r>
        <w:rPr>
          <w:rFonts w:ascii="標楷體" w:eastAsia="標楷體" w:hAnsi="標楷體" w:cs="新細明體"/>
          <w:kern w:val="0"/>
          <w:sz w:val="28"/>
          <w:szCs w:val="28"/>
        </w:rPr>
        <w:t>本規則用語，定義如下：</w:t>
      </w:r>
    </w:p>
    <w:p w:rsidR="00207FE4" w:rsidRDefault="008533E9">
      <w:pPr>
        <w:pStyle w:val="a5"/>
        <w:numPr>
          <w:ilvl w:val="0"/>
          <w:numId w:val="7"/>
        </w:numPr>
        <w:spacing w:line="460" w:lineRule="exact"/>
        <w:ind w:left="1952" w:hanging="560"/>
        <w:jc w:val="both"/>
        <w:rPr>
          <w:rFonts w:ascii="標楷體" w:eastAsia="標楷體" w:hAnsi="標楷體"/>
          <w:sz w:val="28"/>
          <w:szCs w:val="28"/>
        </w:rPr>
      </w:pPr>
      <w:r>
        <w:rPr>
          <w:rFonts w:ascii="標楷體" w:eastAsia="標楷體" w:hAnsi="標楷體"/>
          <w:sz w:val="28"/>
          <w:szCs w:val="28"/>
        </w:rPr>
        <w:t>路線設施：指捷運系統之路基、軌道、橋涵、隧道、車站、建築物及所附之消防設施與機電設備。</w:t>
      </w:r>
    </w:p>
    <w:p w:rsidR="00207FE4" w:rsidRDefault="008533E9">
      <w:pPr>
        <w:pStyle w:val="a5"/>
        <w:numPr>
          <w:ilvl w:val="0"/>
          <w:numId w:val="7"/>
        </w:numPr>
        <w:spacing w:line="460" w:lineRule="exact"/>
        <w:ind w:left="1952" w:hanging="560"/>
        <w:jc w:val="both"/>
        <w:rPr>
          <w:rFonts w:ascii="標楷體" w:eastAsia="標楷體" w:hAnsi="標楷體"/>
          <w:sz w:val="28"/>
          <w:szCs w:val="28"/>
        </w:rPr>
      </w:pPr>
      <w:r>
        <w:rPr>
          <w:rFonts w:ascii="標楷體" w:eastAsia="標楷體" w:hAnsi="標楷體"/>
          <w:sz w:val="28"/>
          <w:szCs w:val="28"/>
        </w:rPr>
        <w:t>機電設備：指捷運系統之供電、號誌、通訊、自動收費、</w:t>
      </w:r>
      <w:bookmarkEnd w:id="7"/>
      <w:r>
        <w:rPr>
          <w:rFonts w:ascii="標楷體" w:eastAsia="標楷體" w:hAnsi="標楷體"/>
          <w:sz w:val="28"/>
          <w:szCs w:val="28"/>
        </w:rPr>
        <w:t>環境控制、月台門、電梯、電扶梯及其相關設備。</w:t>
      </w:r>
    </w:p>
    <w:p w:rsidR="00207FE4" w:rsidRDefault="008533E9">
      <w:pPr>
        <w:snapToGrid w:val="0"/>
        <w:spacing w:line="460" w:lineRule="exact"/>
        <w:ind w:left="840" w:hanging="840"/>
        <w:jc w:val="both"/>
      </w:pPr>
      <w:r>
        <w:rPr>
          <w:rFonts w:ascii="標楷體" w:eastAsia="標楷體" w:hAnsi="標楷體" w:cs="新細明體"/>
          <w:kern w:val="0"/>
          <w:sz w:val="28"/>
          <w:szCs w:val="28"/>
        </w:rPr>
        <w:t>第四條</w:t>
      </w:r>
      <w:r>
        <w:rPr>
          <w:rFonts w:ascii="標楷體" w:eastAsia="標楷體" w:hAnsi="標楷體" w:cs="新細明體"/>
          <w:kern w:val="0"/>
          <w:sz w:val="28"/>
          <w:szCs w:val="28"/>
        </w:rPr>
        <w:t xml:space="preserve">    </w:t>
      </w:r>
      <w:r>
        <w:rPr>
          <w:rFonts w:ascii="標楷體" w:eastAsia="標楷體" w:hAnsi="標楷體" w:cs="新細明體"/>
          <w:kern w:val="0"/>
          <w:sz w:val="28"/>
          <w:szCs w:val="28"/>
        </w:rPr>
        <w:t>路線設施及</w:t>
      </w:r>
      <w:r>
        <w:rPr>
          <w:rFonts w:ascii="標楷體" w:eastAsia="標楷體" w:hAnsi="標楷體"/>
          <w:sz w:val="28"/>
          <w:szCs w:val="28"/>
        </w:rPr>
        <w:t>機電設備</w:t>
      </w:r>
      <w:r>
        <w:rPr>
          <w:rFonts w:ascii="標楷體" w:eastAsia="標楷體" w:hAnsi="標楷體" w:cs="新細明體"/>
          <w:kern w:val="0"/>
          <w:sz w:val="28"/>
          <w:szCs w:val="28"/>
        </w:rPr>
        <w:t>之新設、改建或維修完畢者，應經營運機構檢查並確認功能正常，始得使用。</w:t>
      </w:r>
    </w:p>
    <w:p w:rsidR="00207FE4" w:rsidRDefault="008533E9">
      <w:pPr>
        <w:snapToGrid w:val="0"/>
        <w:spacing w:line="460" w:lineRule="exact"/>
        <w:ind w:left="840" w:hanging="840"/>
        <w:jc w:val="both"/>
        <w:rPr>
          <w:rFonts w:ascii="標楷體" w:eastAsia="標楷體" w:hAnsi="標楷體" w:cs="新細明體"/>
          <w:kern w:val="0"/>
          <w:sz w:val="28"/>
          <w:szCs w:val="28"/>
        </w:rPr>
      </w:pPr>
      <w:r>
        <w:rPr>
          <w:rFonts w:ascii="標楷體" w:eastAsia="標楷體" w:hAnsi="標楷體" w:cs="新細明體"/>
          <w:kern w:val="0"/>
          <w:sz w:val="28"/>
          <w:szCs w:val="28"/>
        </w:rPr>
        <w:t>第五條</w:t>
      </w:r>
      <w:r>
        <w:rPr>
          <w:rFonts w:ascii="標楷體" w:eastAsia="標楷體" w:hAnsi="標楷體" w:cs="新細明體"/>
          <w:kern w:val="0"/>
          <w:sz w:val="28"/>
          <w:szCs w:val="28"/>
        </w:rPr>
        <w:t xml:space="preserve">   </w:t>
      </w:r>
      <w:r>
        <w:rPr>
          <w:rFonts w:ascii="標楷體" w:eastAsia="標楷體" w:hAnsi="標楷體" w:cs="新細明體"/>
          <w:kern w:val="0"/>
          <w:sz w:val="28"/>
          <w:szCs w:val="28"/>
        </w:rPr>
        <w:t>營運機構應就路線設施實施定期及不定期檢查，如發現異狀，應即時修理或採取防止事故之緊</w:t>
      </w:r>
      <w:r>
        <w:rPr>
          <w:rFonts w:ascii="標楷體" w:eastAsia="標楷體" w:hAnsi="標楷體" w:cs="新細明體"/>
          <w:kern w:val="0"/>
          <w:sz w:val="28"/>
          <w:szCs w:val="28"/>
        </w:rPr>
        <w:t>急措施。</w:t>
      </w:r>
    </w:p>
    <w:p w:rsidR="00207FE4" w:rsidRDefault="008533E9">
      <w:pPr>
        <w:pStyle w:val="a3"/>
        <w:ind w:left="1134" w:firstLine="0"/>
        <w:rPr>
          <w:rFonts w:ascii="標楷體" w:hAnsi="標楷體"/>
        </w:rPr>
      </w:pPr>
      <w:r>
        <w:rPr>
          <w:rFonts w:ascii="標楷體" w:hAnsi="標楷體"/>
        </w:rPr>
        <w:t xml:space="preserve">  </w:t>
      </w:r>
      <w:r>
        <w:rPr>
          <w:rFonts w:ascii="標楷體" w:hAnsi="標楷體"/>
        </w:rPr>
        <w:t>前項路線設施養護檢查情形，營運機構應記錄存查。</w:t>
      </w:r>
    </w:p>
    <w:p w:rsidR="00207FE4" w:rsidRDefault="008533E9">
      <w:pPr>
        <w:pStyle w:val="a3"/>
        <w:tabs>
          <w:tab w:val="clear" w:pos="3120"/>
          <w:tab w:val="clear" w:pos="3840"/>
          <w:tab w:val="clear" w:pos="4560"/>
          <w:tab w:val="clear" w:pos="4715"/>
        </w:tabs>
        <w:ind w:left="840" w:hanging="840"/>
      </w:pPr>
      <w:r>
        <w:rPr>
          <w:rFonts w:ascii="標楷體" w:hAnsi="標楷體"/>
        </w:rPr>
        <w:t>第六條</w:t>
      </w:r>
      <w:r>
        <w:rPr>
          <w:rFonts w:ascii="標楷體" w:hAnsi="標楷體"/>
        </w:rPr>
        <w:t xml:space="preserve">    </w:t>
      </w:r>
      <w:r>
        <w:rPr>
          <w:rFonts w:ascii="標楷體" w:hAnsi="標楷體" w:cs="新細明體"/>
          <w:kern w:val="0"/>
        </w:rPr>
        <w:t>營運機構就路線設施每年應至少舉行總檢查一次。</w:t>
      </w:r>
      <w:bookmarkEnd w:id="4"/>
    </w:p>
    <w:p w:rsidR="00207FE4" w:rsidRDefault="008533E9">
      <w:pPr>
        <w:pStyle w:val="a3"/>
        <w:tabs>
          <w:tab w:val="clear" w:pos="3120"/>
          <w:tab w:val="clear" w:pos="3840"/>
          <w:tab w:val="clear" w:pos="4560"/>
          <w:tab w:val="clear" w:pos="4715"/>
        </w:tabs>
        <w:snapToGrid w:val="0"/>
        <w:spacing w:before="0" w:after="0" w:line="460" w:lineRule="exact"/>
        <w:ind w:left="840" w:firstLine="280"/>
        <w:rPr>
          <w:rFonts w:ascii="標楷體" w:hAnsi="標楷體"/>
        </w:rPr>
      </w:pPr>
      <w:r>
        <w:rPr>
          <w:rFonts w:ascii="標楷體" w:hAnsi="標楷體"/>
        </w:rPr>
        <w:t xml:space="preserve">  </w:t>
      </w:r>
      <w:r>
        <w:rPr>
          <w:rFonts w:ascii="標楷體" w:hAnsi="標楷體"/>
        </w:rPr>
        <w:t>前項總檢查，應包括路線設施養護狀況、現時狀況及用料使用情形。</w:t>
      </w:r>
    </w:p>
    <w:p w:rsidR="00207FE4" w:rsidRDefault="008533E9">
      <w:pPr>
        <w:snapToGrid w:val="0"/>
        <w:spacing w:line="460" w:lineRule="exact"/>
        <w:ind w:left="841" w:hanging="841"/>
        <w:jc w:val="both"/>
        <w:rPr>
          <w:rFonts w:ascii="標楷體" w:eastAsia="標楷體" w:hAnsi="標楷體"/>
          <w:b/>
          <w:sz w:val="28"/>
          <w:szCs w:val="28"/>
        </w:rPr>
      </w:pPr>
      <w:r>
        <w:rPr>
          <w:rFonts w:ascii="標楷體" w:eastAsia="標楷體" w:hAnsi="標楷體"/>
          <w:b/>
          <w:sz w:val="28"/>
          <w:szCs w:val="28"/>
        </w:rPr>
        <w:t>第二章</w:t>
      </w:r>
      <w:r>
        <w:rPr>
          <w:rFonts w:ascii="標楷體" w:eastAsia="標楷體" w:hAnsi="標楷體"/>
          <w:b/>
          <w:sz w:val="28"/>
          <w:szCs w:val="28"/>
        </w:rPr>
        <w:t xml:space="preserve">  </w:t>
      </w:r>
      <w:r>
        <w:rPr>
          <w:rFonts w:ascii="標楷體" w:eastAsia="標楷體" w:hAnsi="標楷體"/>
          <w:b/>
          <w:sz w:val="28"/>
          <w:szCs w:val="28"/>
        </w:rPr>
        <w:t>路基、軌道</w:t>
      </w:r>
    </w:p>
    <w:p w:rsidR="00207FE4" w:rsidRDefault="008533E9">
      <w:pPr>
        <w:pStyle w:val="a3"/>
        <w:tabs>
          <w:tab w:val="clear" w:pos="3120"/>
          <w:tab w:val="clear" w:pos="3840"/>
          <w:tab w:val="clear" w:pos="4560"/>
          <w:tab w:val="clear" w:pos="4715"/>
        </w:tabs>
        <w:ind w:left="1960" w:hanging="1960"/>
        <w:rPr>
          <w:rFonts w:ascii="標楷體" w:hAnsi="標楷體" w:cs="新細明體"/>
          <w:kern w:val="0"/>
        </w:rPr>
      </w:pPr>
      <w:r>
        <w:rPr>
          <w:rFonts w:ascii="標楷體" w:hAnsi="標楷體" w:cs="新細明體"/>
          <w:kern w:val="0"/>
        </w:rPr>
        <w:t>第七條</w:t>
      </w:r>
      <w:r>
        <w:rPr>
          <w:rFonts w:ascii="標楷體" w:hAnsi="標楷體" w:cs="新細明體"/>
          <w:kern w:val="0"/>
        </w:rPr>
        <w:t xml:space="preserve">    </w:t>
      </w:r>
      <w:r>
        <w:rPr>
          <w:rFonts w:ascii="標楷體" w:hAnsi="標楷體" w:cs="新細明體"/>
          <w:kern w:val="0"/>
        </w:rPr>
        <w:t>路基、軌道檢修分為定期檢修及臨時檢修二種。</w:t>
      </w:r>
    </w:p>
    <w:p w:rsidR="00207FE4" w:rsidRDefault="008533E9">
      <w:pPr>
        <w:pStyle w:val="a3"/>
        <w:tabs>
          <w:tab w:val="clear" w:pos="3120"/>
          <w:tab w:val="clear" w:pos="3840"/>
          <w:tab w:val="clear" w:pos="4560"/>
          <w:tab w:val="clear" w:pos="4715"/>
        </w:tabs>
        <w:ind w:left="840" w:hanging="840"/>
      </w:pPr>
      <w:r>
        <w:rPr>
          <w:rFonts w:ascii="標楷體" w:hAnsi="標楷體"/>
        </w:rPr>
        <w:t>第八條</w:t>
      </w:r>
      <w:r>
        <w:rPr>
          <w:rFonts w:ascii="標楷體" w:hAnsi="標楷體" w:cs="新細明體"/>
          <w:kern w:val="0"/>
        </w:rPr>
        <w:t xml:space="preserve">    </w:t>
      </w:r>
      <w:r>
        <w:rPr>
          <w:rFonts w:ascii="標楷體" w:hAnsi="標楷體" w:cs="新細明體"/>
          <w:kern w:val="0"/>
        </w:rPr>
        <w:t>路基、軌道之定期檢修項目及週期，由營運機構依路基、軌道形式及運轉情況擬訂，報請本府核定。</w:t>
      </w:r>
    </w:p>
    <w:p w:rsidR="00207FE4" w:rsidRDefault="008533E9">
      <w:pPr>
        <w:pStyle w:val="a3"/>
        <w:tabs>
          <w:tab w:val="clear" w:pos="3120"/>
          <w:tab w:val="clear" w:pos="3840"/>
          <w:tab w:val="clear" w:pos="4560"/>
          <w:tab w:val="clear" w:pos="4715"/>
        </w:tabs>
        <w:ind w:left="840" w:hanging="840"/>
      </w:pPr>
      <w:r>
        <w:rPr>
          <w:rFonts w:ascii="標楷體" w:hAnsi="標楷體"/>
        </w:rPr>
        <w:t>第九條</w:t>
      </w:r>
      <w:r>
        <w:rPr>
          <w:rFonts w:ascii="標楷體" w:hAnsi="標楷體"/>
        </w:rPr>
        <w:t xml:space="preserve">    </w:t>
      </w:r>
      <w:r>
        <w:rPr>
          <w:rFonts w:ascii="標楷體" w:hAnsi="標楷體"/>
        </w:rPr>
        <w:t>路基、軌道有下列情事之一者，</w:t>
      </w:r>
      <w:r>
        <w:rPr>
          <w:rFonts w:ascii="標楷體" w:hAnsi="標楷體" w:cs="新細明體"/>
          <w:kern w:val="0"/>
        </w:rPr>
        <w:t>營運機構</w:t>
      </w:r>
      <w:r>
        <w:rPr>
          <w:rFonts w:ascii="標楷體" w:hAnsi="標楷體"/>
        </w:rPr>
        <w:t>應採取安全措施並實行臨時檢修：</w:t>
      </w:r>
    </w:p>
    <w:p w:rsidR="00207FE4" w:rsidRDefault="008533E9">
      <w:pPr>
        <w:pStyle w:val="a3"/>
        <w:numPr>
          <w:ilvl w:val="0"/>
          <w:numId w:val="8"/>
        </w:numPr>
        <w:tabs>
          <w:tab w:val="clear" w:pos="3120"/>
          <w:tab w:val="clear" w:pos="3840"/>
          <w:tab w:val="clear" w:pos="4560"/>
          <w:tab w:val="clear" w:pos="4715"/>
        </w:tabs>
        <w:snapToGrid w:val="0"/>
        <w:spacing w:before="0" w:after="0"/>
        <w:ind w:left="2000" w:hanging="560"/>
        <w:rPr>
          <w:rFonts w:ascii="標楷體" w:hAnsi="標楷體"/>
        </w:rPr>
      </w:pPr>
      <w:r>
        <w:rPr>
          <w:rFonts w:ascii="標楷體" w:hAnsi="標楷體"/>
        </w:rPr>
        <w:t>發生事故。</w:t>
      </w:r>
    </w:p>
    <w:p w:rsidR="00207FE4" w:rsidRDefault="008533E9">
      <w:pPr>
        <w:pStyle w:val="a3"/>
        <w:numPr>
          <w:ilvl w:val="0"/>
          <w:numId w:val="8"/>
        </w:numPr>
        <w:tabs>
          <w:tab w:val="clear" w:pos="3120"/>
          <w:tab w:val="clear" w:pos="3840"/>
          <w:tab w:val="clear" w:pos="4560"/>
          <w:tab w:val="clear" w:pos="4715"/>
        </w:tabs>
        <w:ind w:left="2000" w:hanging="560"/>
        <w:rPr>
          <w:rFonts w:ascii="標楷體" w:hAnsi="標楷體"/>
        </w:rPr>
      </w:pPr>
      <w:r>
        <w:rPr>
          <w:rFonts w:ascii="標楷體" w:hAnsi="標楷體"/>
        </w:rPr>
        <w:t>發生故障或故障之虞。</w:t>
      </w:r>
    </w:p>
    <w:p w:rsidR="00207FE4" w:rsidRDefault="008533E9">
      <w:pPr>
        <w:pStyle w:val="a3"/>
        <w:numPr>
          <w:ilvl w:val="0"/>
          <w:numId w:val="8"/>
        </w:numPr>
        <w:tabs>
          <w:tab w:val="clear" w:pos="3120"/>
          <w:tab w:val="clear" w:pos="3840"/>
          <w:tab w:val="clear" w:pos="4560"/>
          <w:tab w:val="clear" w:pos="4715"/>
        </w:tabs>
        <w:ind w:left="2000" w:hanging="560"/>
        <w:rPr>
          <w:rFonts w:ascii="標楷體" w:hAnsi="標楷體"/>
        </w:rPr>
      </w:pPr>
      <w:r>
        <w:rPr>
          <w:rFonts w:ascii="標楷體" w:hAnsi="標楷體"/>
        </w:rPr>
        <w:t>其他認為有檢修之必要。</w:t>
      </w:r>
    </w:p>
    <w:p w:rsidR="00207FE4" w:rsidRDefault="008533E9">
      <w:pPr>
        <w:pStyle w:val="a3"/>
        <w:tabs>
          <w:tab w:val="clear" w:pos="3120"/>
          <w:tab w:val="clear" w:pos="3840"/>
          <w:tab w:val="clear" w:pos="4560"/>
          <w:tab w:val="clear" w:pos="4715"/>
        </w:tabs>
        <w:ind w:left="840" w:hanging="840"/>
      </w:pPr>
      <w:r>
        <w:rPr>
          <w:rFonts w:ascii="標楷體" w:hAnsi="標楷體"/>
        </w:rPr>
        <w:t>第十條</w:t>
      </w:r>
      <w:r>
        <w:rPr>
          <w:rFonts w:ascii="標楷體" w:hAnsi="標楷體"/>
        </w:rPr>
        <w:t xml:space="preserve">    </w:t>
      </w:r>
      <w:r>
        <w:rPr>
          <w:rFonts w:ascii="標楷體" w:hAnsi="標楷體"/>
        </w:rPr>
        <w:t>路基、軌道設備，如因性能劣化、磨損已達規定限度或因故損傷破裂有危險之虞時，</w:t>
      </w:r>
      <w:r>
        <w:rPr>
          <w:rFonts w:ascii="標楷體" w:hAnsi="標楷體" w:cs="新細明體"/>
          <w:kern w:val="0"/>
        </w:rPr>
        <w:t>營運機構</w:t>
      </w:r>
      <w:r>
        <w:rPr>
          <w:rFonts w:ascii="標楷體" w:hAnsi="標楷體"/>
        </w:rPr>
        <w:t>應予抽換更新之。</w:t>
      </w:r>
    </w:p>
    <w:bookmarkEnd w:id="5"/>
    <w:p w:rsidR="00207FE4" w:rsidRDefault="008533E9">
      <w:pPr>
        <w:tabs>
          <w:tab w:val="left" w:pos="960"/>
          <w:tab w:val="left" w:pos="1920"/>
          <w:tab w:val="left" w:pos="2880"/>
          <w:tab w:val="left" w:pos="3840"/>
          <w:tab w:val="left" w:pos="4800"/>
          <w:tab w:val="left" w:pos="5760"/>
          <w:tab w:val="left" w:pos="6720"/>
          <w:tab w:val="left" w:pos="7680"/>
          <w:tab w:val="left" w:pos="8640"/>
        </w:tabs>
        <w:autoSpaceDE w:val="0"/>
        <w:snapToGrid w:val="0"/>
        <w:spacing w:line="460" w:lineRule="exact"/>
        <w:ind w:left="567" w:hanging="567"/>
        <w:jc w:val="center"/>
        <w:rPr>
          <w:rFonts w:ascii="標楷體" w:eastAsia="標楷體" w:hAnsi="標楷體"/>
          <w:b/>
          <w:sz w:val="28"/>
          <w:szCs w:val="28"/>
        </w:rPr>
      </w:pPr>
      <w:r>
        <w:rPr>
          <w:rFonts w:ascii="標楷體" w:eastAsia="標楷體" w:hAnsi="標楷體"/>
          <w:b/>
          <w:sz w:val="28"/>
          <w:szCs w:val="28"/>
        </w:rPr>
        <w:t>第三章、橋涵、隧道、車站</w:t>
      </w:r>
    </w:p>
    <w:p w:rsidR="00207FE4" w:rsidRDefault="008533E9">
      <w:pPr>
        <w:autoSpaceDE w:val="0"/>
        <w:snapToGrid w:val="0"/>
        <w:spacing w:line="460" w:lineRule="exact"/>
        <w:ind w:left="1120" w:hanging="1120"/>
        <w:rPr>
          <w:rFonts w:ascii="標楷體" w:eastAsia="標楷體" w:hAnsi="標楷體"/>
          <w:sz w:val="28"/>
          <w:szCs w:val="28"/>
        </w:rPr>
      </w:pPr>
      <w:r>
        <w:rPr>
          <w:rFonts w:ascii="標楷體" w:eastAsia="標楷體" w:hAnsi="標楷體"/>
          <w:sz w:val="28"/>
          <w:szCs w:val="28"/>
        </w:rPr>
        <w:lastRenderedPageBreak/>
        <w:t>第十一條</w:t>
      </w:r>
      <w:r>
        <w:rPr>
          <w:rFonts w:ascii="標楷體" w:eastAsia="標楷體" w:hAnsi="標楷體"/>
          <w:sz w:val="28"/>
          <w:szCs w:val="28"/>
        </w:rPr>
        <w:t xml:space="preserve">    </w:t>
      </w:r>
      <w:r>
        <w:rPr>
          <w:rFonts w:ascii="標楷體" w:eastAsia="標楷體" w:hAnsi="標楷體"/>
          <w:sz w:val="28"/>
          <w:szCs w:val="28"/>
        </w:rPr>
        <w:t>橋臺、橋墩或隧道如有下沉移動情形，營運機構應查明原因並設法加固改善。</w:t>
      </w:r>
    </w:p>
    <w:p w:rsidR="00207FE4" w:rsidRDefault="008533E9">
      <w:pPr>
        <w:autoSpaceDE w:val="0"/>
        <w:snapToGrid w:val="0"/>
        <w:spacing w:line="460" w:lineRule="exact"/>
        <w:ind w:left="1120" w:hanging="1120"/>
      </w:pPr>
      <w:r>
        <w:rPr>
          <w:rFonts w:ascii="標楷體" w:eastAsia="標楷體" w:hAnsi="標楷體"/>
          <w:sz w:val="28"/>
          <w:szCs w:val="28"/>
        </w:rPr>
        <w:t>第十二條</w:t>
      </w:r>
      <w:r>
        <w:rPr>
          <w:rFonts w:ascii="標楷體" w:eastAsia="標楷體" w:hAnsi="標楷體"/>
          <w:sz w:val="28"/>
          <w:szCs w:val="28"/>
        </w:rPr>
        <w:t xml:space="preserve">    </w:t>
      </w:r>
      <w:r>
        <w:rPr>
          <w:rFonts w:ascii="標楷體" w:eastAsia="標楷體" w:hAnsi="標楷體"/>
          <w:sz w:val="28"/>
          <w:szCs w:val="28"/>
        </w:rPr>
        <w:t>橋梁、涵洞之流水狀況、防護設施及上下游河道，營運機構均應注意檢查、修補、疏</w:t>
      </w:r>
      <w:r>
        <w:rPr>
          <w:rFonts w:ascii="標楷體" w:eastAsia="標楷體" w:hAnsi="標楷體" w:cs="細明體"/>
          <w:sz w:val="28"/>
          <w:szCs w:val="28"/>
        </w:rPr>
        <w:t>濬或洽請有關機關辦理。</w:t>
      </w:r>
    </w:p>
    <w:p w:rsidR="00207FE4" w:rsidRDefault="008533E9">
      <w:pPr>
        <w:autoSpaceDE w:val="0"/>
        <w:snapToGrid w:val="0"/>
        <w:spacing w:line="460" w:lineRule="exact"/>
        <w:ind w:left="1120" w:hanging="1120"/>
      </w:pPr>
      <w:r>
        <w:rPr>
          <w:rFonts w:ascii="標楷體" w:eastAsia="標楷體" w:hAnsi="標楷體" w:cs="細明體"/>
          <w:sz w:val="28"/>
          <w:szCs w:val="28"/>
        </w:rPr>
        <w:t>第十三條</w:t>
      </w:r>
      <w:r>
        <w:rPr>
          <w:rFonts w:ascii="標楷體" w:eastAsia="標楷體" w:hAnsi="標楷體" w:cs="細明體"/>
          <w:sz w:val="28"/>
          <w:szCs w:val="28"/>
        </w:rPr>
        <w:t xml:space="preserve">    </w:t>
      </w:r>
      <w:r>
        <w:rPr>
          <w:rFonts w:ascii="標楷體" w:eastAsia="標楷體" w:hAnsi="標楷體" w:cs="細明體"/>
          <w:sz w:val="28"/>
          <w:szCs w:val="28"/>
        </w:rPr>
        <w:t>橋梁跨越之河流，每次洪水及漲水有超過警戒水位之虞者，</w:t>
      </w:r>
      <w:r>
        <w:rPr>
          <w:rFonts w:ascii="標楷體" w:eastAsia="標楷體" w:hAnsi="標楷體"/>
          <w:sz w:val="28"/>
          <w:szCs w:val="28"/>
        </w:rPr>
        <w:t>營運機構</w:t>
      </w:r>
      <w:r>
        <w:rPr>
          <w:rFonts w:ascii="標楷體" w:eastAsia="標楷體" w:hAnsi="標楷體" w:cs="細明體"/>
          <w:sz w:val="28"/>
          <w:szCs w:val="28"/>
        </w:rPr>
        <w:t>應派員檢查記錄其水位，並勘查橋臺、橋墩附近河床狀態，繪圖記錄以供養護作業參考。</w:t>
      </w:r>
    </w:p>
    <w:p w:rsidR="00207FE4" w:rsidRDefault="008533E9">
      <w:pPr>
        <w:autoSpaceDE w:val="0"/>
        <w:snapToGrid w:val="0"/>
        <w:spacing w:line="460" w:lineRule="exact"/>
        <w:ind w:left="1120" w:hanging="1120"/>
      </w:pPr>
      <w:r>
        <w:rPr>
          <w:rFonts w:ascii="標楷體" w:eastAsia="標楷體" w:hAnsi="標楷體" w:cs="細明體"/>
          <w:sz w:val="28"/>
          <w:szCs w:val="28"/>
        </w:rPr>
        <w:t>第十四條</w:t>
      </w:r>
      <w:r>
        <w:rPr>
          <w:rFonts w:ascii="標楷體" w:eastAsia="標楷體" w:hAnsi="標楷體" w:cs="細明體"/>
          <w:sz w:val="28"/>
          <w:szCs w:val="28"/>
        </w:rPr>
        <w:t xml:space="preserve">    </w:t>
      </w:r>
      <w:r>
        <w:rPr>
          <w:rFonts w:ascii="標楷體" w:eastAsia="標楷體" w:hAnsi="標楷體" w:cs="細明體"/>
          <w:sz w:val="28"/>
          <w:szCs w:val="28"/>
        </w:rPr>
        <w:t>橋涵、隧道及車站之排水設備，</w:t>
      </w:r>
      <w:r>
        <w:rPr>
          <w:rFonts w:ascii="標楷體" w:eastAsia="標楷體" w:hAnsi="標楷體"/>
          <w:sz w:val="28"/>
          <w:szCs w:val="28"/>
        </w:rPr>
        <w:t>營運機構</w:t>
      </w:r>
      <w:r>
        <w:rPr>
          <w:rFonts w:ascii="標楷體" w:eastAsia="標楷體" w:hAnsi="標楷體" w:cs="細明體"/>
          <w:sz w:val="28"/>
          <w:szCs w:val="28"/>
        </w:rPr>
        <w:t>應經常檢修、保持排水通暢。</w:t>
      </w:r>
    </w:p>
    <w:p w:rsidR="00207FE4" w:rsidRDefault="008533E9">
      <w:pPr>
        <w:autoSpaceDE w:val="0"/>
        <w:snapToGrid w:val="0"/>
        <w:spacing w:line="460" w:lineRule="exact"/>
        <w:ind w:left="1120" w:hanging="1120"/>
      </w:pPr>
      <w:r>
        <w:rPr>
          <w:rFonts w:ascii="標楷體" w:eastAsia="標楷體" w:hAnsi="標楷體" w:cs="細明體"/>
          <w:sz w:val="28"/>
          <w:szCs w:val="28"/>
        </w:rPr>
        <w:t>第十五條</w:t>
      </w:r>
      <w:r>
        <w:rPr>
          <w:rFonts w:ascii="標楷體" w:eastAsia="標楷體" w:hAnsi="標楷體" w:cs="細明體"/>
          <w:sz w:val="28"/>
          <w:szCs w:val="28"/>
        </w:rPr>
        <w:t xml:space="preserve">    </w:t>
      </w:r>
      <w:r>
        <w:rPr>
          <w:rFonts w:ascii="標楷體" w:eastAsia="標楷體" w:hAnsi="標楷體" w:cs="細明體"/>
          <w:sz w:val="28"/>
          <w:szCs w:val="28"/>
        </w:rPr>
        <w:t>火災控制設施、緊急供電設備、緊急排煙設備、火警偵測系統、自動滅火設備及其他附屬設備，</w:t>
      </w:r>
      <w:r>
        <w:rPr>
          <w:rFonts w:ascii="標楷體" w:eastAsia="標楷體" w:hAnsi="標楷體"/>
          <w:sz w:val="28"/>
          <w:szCs w:val="28"/>
        </w:rPr>
        <w:t>營運機構</w:t>
      </w:r>
      <w:r>
        <w:rPr>
          <w:rFonts w:ascii="標楷體" w:eastAsia="標楷體" w:hAnsi="標楷體" w:cs="細明體"/>
          <w:sz w:val="28"/>
          <w:szCs w:val="28"/>
        </w:rPr>
        <w:t>應實施定期及不定期檢修，並做成紀錄，如因性能劣化或因故毀損者，應予更新。</w:t>
      </w:r>
    </w:p>
    <w:p w:rsidR="00207FE4" w:rsidRDefault="008533E9">
      <w:pPr>
        <w:tabs>
          <w:tab w:val="left" w:pos="1920"/>
          <w:tab w:val="left" w:pos="2880"/>
          <w:tab w:val="left" w:pos="3840"/>
          <w:tab w:val="left" w:pos="4800"/>
          <w:tab w:val="left" w:pos="5760"/>
          <w:tab w:val="left" w:pos="6720"/>
          <w:tab w:val="left" w:pos="7680"/>
          <w:tab w:val="left" w:pos="8640"/>
        </w:tabs>
        <w:autoSpaceDE w:val="0"/>
        <w:snapToGrid w:val="0"/>
        <w:spacing w:line="460" w:lineRule="exact"/>
        <w:jc w:val="center"/>
        <w:rPr>
          <w:rFonts w:ascii="標楷體" w:eastAsia="標楷體" w:hAnsi="標楷體" w:cs="細明體"/>
          <w:b/>
          <w:sz w:val="28"/>
          <w:szCs w:val="28"/>
        </w:rPr>
      </w:pPr>
      <w:r>
        <w:rPr>
          <w:rFonts w:ascii="標楷體" w:eastAsia="標楷體" w:hAnsi="標楷體" w:cs="細明體"/>
          <w:b/>
          <w:sz w:val="28"/>
          <w:szCs w:val="28"/>
        </w:rPr>
        <w:t>第四章</w:t>
      </w:r>
      <w:r>
        <w:rPr>
          <w:rFonts w:ascii="標楷體" w:eastAsia="標楷體" w:hAnsi="標楷體" w:cs="細明體"/>
          <w:b/>
          <w:sz w:val="28"/>
          <w:szCs w:val="28"/>
        </w:rPr>
        <w:t xml:space="preserve">  </w:t>
      </w:r>
      <w:r>
        <w:rPr>
          <w:rFonts w:ascii="標楷體" w:eastAsia="標楷體" w:hAnsi="標楷體" w:cs="細明體"/>
          <w:b/>
          <w:sz w:val="28"/>
          <w:szCs w:val="28"/>
        </w:rPr>
        <w:t>機電設備</w:t>
      </w:r>
    </w:p>
    <w:p w:rsidR="00207FE4" w:rsidRDefault="008533E9">
      <w:pPr>
        <w:autoSpaceDE w:val="0"/>
        <w:snapToGrid w:val="0"/>
        <w:spacing w:line="460" w:lineRule="exact"/>
        <w:ind w:left="1960" w:hanging="1960"/>
        <w:rPr>
          <w:rFonts w:ascii="標楷體" w:eastAsia="標楷體" w:hAnsi="標楷體" w:cs="細明體"/>
          <w:sz w:val="28"/>
          <w:szCs w:val="28"/>
        </w:rPr>
      </w:pPr>
      <w:r>
        <w:rPr>
          <w:rFonts w:ascii="標楷體" w:eastAsia="標楷體" w:hAnsi="標楷體" w:cs="細明體"/>
          <w:sz w:val="28"/>
          <w:szCs w:val="28"/>
        </w:rPr>
        <w:t>第十六條</w:t>
      </w:r>
      <w:r>
        <w:rPr>
          <w:rFonts w:ascii="標楷體" w:eastAsia="標楷體" w:hAnsi="標楷體" w:cs="細明體"/>
          <w:sz w:val="28"/>
          <w:szCs w:val="28"/>
        </w:rPr>
        <w:t xml:space="preserve">    </w:t>
      </w:r>
      <w:r>
        <w:rPr>
          <w:rFonts w:ascii="標楷體" w:eastAsia="標楷體" w:hAnsi="標楷體" w:cs="細明體"/>
          <w:sz w:val="28"/>
          <w:szCs w:val="28"/>
        </w:rPr>
        <w:t>機電設備檢修分為定期檢修及臨時檢修兩種。</w:t>
      </w:r>
    </w:p>
    <w:p w:rsidR="00207FE4" w:rsidRDefault="008533E9">
      <w:pPr>
        <w:autoSpaceDE w:val="0"/>
        <w:snapToGrid w:val="0"/>
        <w:spacing w:line="460" w:lineRule="exact"/>
        <w:ind w:left="1120" w:hanging="1120"/>
        <w:rPr>
          <w:rFonts w:ascii="標楷體" w:eastAsia="標楷體" w:hAnsi="標楷體" w:cs="細明體"/>
          <w:sz w:val="28"/>
          <w:szCs w:val="28"/>
        </w:rPr>
      </w:pPr>
      <w:r>
        <w:rPr>
          <w:rFonts w:ascii="標楷體" w:eastAsia="標楷體" w:hAnsi="標楷體" w:cs="細明體"/>
          <w:sz w:val="28"/>
          <w:szCs w:val="28"/>
        </w:rPr>
        <w:t>第十七條</w:t>
      </w:r>
      <w:r>
        <w:rPr>
          <w:rFonts w:ascii="標楷體" w:eastAsia="標楷體" w:hAnsi="標楷體" w:cs="細明體"/>
          <w:sz w:val="28"/>
          <w:szCs w:val="28"/>
        </w:rPr>
        <w:t xml:space="preserve">    </w:t>
      </w:r>
      <w:r>
        <w:rPr>
          <w:rFonts w:ascii="標楷體" w:eastAsia="標楷體" w:hAnsi="標楷體" w:cs="細明體"/>
          <w:sz w:val="28"/>
          <w:szCs w:val="28"/>
        </w:rPr>
        <w:t>營運機構應依機電設備使用狀況施行定期檢修，其檢修項目、週期，依各設備形式及使用狀況而定，其檢修作業由營運機構擬訂，報請本府核定。</w:t>
      </w:r>
    </w:p>
    <w:p w:rsidR="00207FE4" w:rsidRDefault="008533E9">
      <w:pPr>
        <w:autoSpaceDE w:val="0"/>
        <w:snapToGrid w:val="0"/>
        <w:spacing w:line="460" w:lineRule="exact"/>
        <w:ind w:left="1120" w:hanging="1120"/>
        <w:rPr>
          <w:rFonts w:ascii="標楷體" w:eastAsia="標楷體" w:hAnsi="標楷體" w:cs="細明體"/>
          <w:sz w:val="28"/>
          <w:szCs w:val="28"/>
        </w:rPr>
      </w:pPr>
      <w:r>
        <w:rPr>
          <w:rFonts w:ascii="標楷體" w:eastAsia="標楷體" w:hAnsi="標楷體" w:cs="細明體"/>
          <w:sz w:val="28"/>
          <w:szCs w:val="28"/>
        </w:rPr>
        <w:t>第十八條</w:t>
      </w:r>
      <w:r>
        <w:rPr>
          <w:rFonts w:ascii="標楷體" w:eastAsia="標楷體" w:hAnsi="標楷體" w:cs="細明體"/>
          <w:sz w:val="28"/>
          <w:szCs w:val="28"/>
        </w:rPr>
        <w:t xml:space="preserve">    </w:t>
      </w:r>
      <w:r>
        <w:rPr>
          <w:rFonts w:ascii="標楷體" w:eastAsia="標楷體" w:hAnsi="標楷體" w:cs="細明體"/>
          <w:sz w:val="28"/>
          <w:szCs w:val="28"/>
        </w:rPr>
        <w:t>機電設備有下列情事之一者，營運機構應採取安全措施並實行臨時檢修：</w:t>
      </w:r>
    </w:p>
    <w:p w:rsidR="00207FE4" w:rsidRDefault="008533E9">
      <w:pPr>
        <w:pStyle w:val="a5"/>
        <w:numPr>
          <w:ilvl w:val="0"/>
          <w:numId w:val="9"/>
        </w:numPr>
        <w:autoSpaceDE w:val="0"/>
        <w:snapToGrid w:val="0"/>
        <w:spacing w:line="460" w:lineRule="exact"/>
        <w:ind w:left="2240" w:hanging="560"/>
        <w:rPr>
          <w:rFonts w:ascii="標楷體" w:eastAsia="標楷體" w:hAnsi="標楷體" w:cs="細明體"/>
          <w:sz w:val="28"/>
          <w:szCs w:val="28"/>
        </w:rPr>
      </w:pPr>
      <w:r>
        <w:rPr>
          <w:rFonts w:ascii="標楷體" w:eastAsia="標楷體" w:hAnsi="標楷體" w:cs="細明體"/>
          <w:sz w:val="28"/>
          <w:szCs w:val="28"/>
        </w:rPr>
        <w:t>發生事故。</w:t>
      </w:r>
    </w:p>
    <w:p w:rsidR="00207FE4" w:rsidRDefault="008533E9">
      <w:pPr>
        <w:pStyle w:val="a5"/>
        <w:numPr>
          <w:ilvl w:val="0"/>
          <w:numId w:val="9"/>
        </w:numPr>
        <w:autoSpaceDE w:val="0"/>
        <w:snapToGrid w:val="0"/>
        <w:spacing w:line="460" w:lineRule="exact"/>
        <w:ind w:left="2240" w:hanging="560"/>
        <w:rPr>
          <w:rFonts w:ascii="標楷體" w:eastAsia="標楷體" w:hAnsi="標楷體" w:cs="細明體"/>
          <w:sz w:val="28"/>
          <w:szCs w:val="28"/>
        </w:rPr>
      </w:pPr>
      <w:r>
        <w:rPr>
          <w:rFonts w:ascii="標楷體" w:eastAsia="標楷體" w:hAnsi="標楷體" w:cs="細明體"/>
          <w:sz w:val="28"/>
          <w:szCs w:val="28"/>
        </w:rPr>
        <w:t>發生故障或故障之虞。</w:t>
      </w:r>
    </w:p>
    <w:p w:rsidR="00207FE4" w:rsidRDefault="008533E9">
      <w:pPr>
        <w:pStyle w:val="a5"/>
        <w:numPr>
          <w:ilvl w:val="0"/>
          <w:numId w:val="9"/>
        </w:numPr>
        <w:autoSpaceDE w:val="0"/>
        <w:snapToGrid w:val="0"/>
        <w:spacing w:line="460" w:lineRule="exact"/>
        <w:ind w:left="2240" w:hanging="560"/>
        <w:rPr>
          <w:rFonts w:ascii="標楷體" w:eastAsia="標楷體" w:hAnsi="標楷體" w:cs="細明體"/>
          <w:sz w:val="28"/>
          <w:szCs w:val="28"/>
        </w:rPr>
      </w:pPr>
      <w:r>
        <w:rPr>
          <w:rFonts w:ascii="標楷體" w:eastAsia="標楷體" w:hAnsi="標楷體" w:cs="細明體"/>
          <w:sz w:val="28"/>
          <w:szCs w:val="28"/>
        </w:rPr>
        <w:t>其他認為有檢修之必要。</w:t>
      </w:r>
    </w:p>
    <w:p w:rsidR="00207FE4" w:rsidRDefault="008533E9">
      <w:pPr>
        <w:autoSpaceDE w:val="0"/>
        <w:snapToGrid w:val="0"/>
        <w:spacing w:line="460" w:lineRule="exact"/>
        <w:ind w:left="1960" w:hanging="1960"/>
        <w:rPr>
          <w:rFonts w:ascii="標楷體" w:eastAsia="標楷體" w:hAnsi="標楷體" w:cs="細明體"/>
          <w:sz w:val="28"/>
          <w:szCs w:val="28"/>
        </w:rPr>
      </w:pPr>
      <w:r>
        <w:rPr>
          <w:rFonts w:ascii="標楷體" w:eastAsia="標楷體" w:hAnsi="標楷體" w:cs="細明體"/>
          <w:sz w:val="28"/>
          <w:szCs w:val="28"/>
        </w:rPr>
        <w:t>第十九條</w:t>
      </w:r>
      <w:r>
        <w:rPr>
          <w:rFonts w:ascii="標楷體" w:eastAsia="標楷體" w:hAnsi="標楷體" w:cs="細明體"/>
          <w:sz w:val="28"/>
          <w:szCs w:val="28"/>
        </w:rPr>
        <w:t xml:space="preserve">    </w:t>
      </w:r>
      <w:r>
        <w:rPr>
          <w:rFonts w:ascii="標楷體" w:eastAsia="標楷體" w:hAnsi="標楷體" w:cs="細明體"/>
          <w:sz w:val="28"/>
          <w:szCs w:val="28"/>
        </w:rPr>
        <w:t>機電設備，如因性能劣化或因故毀損者，營運機構應予換新。</w:t>
      </w:r>
    </w:p>
    <w:p w:rsidR="00207FE4" w:rsidRDefault="008533E9">
      <w:pPr>
        <w:tabs>
          <w:tab w:val="left" w:pos="1920"/>
          <w:tab w:val="left" w:pos="2880"/>
          <w:tab w:val="left" w:pos="3840"/>
          <w:tab w:val="left" w:pos="4800"/>
          <w:tab w:val="left" w:pos="5760"/>
          <w:tab w:val="left" w:pos="6720"/>
          <w:tab w:val="left" w:pos="7680"/>
          <w:tab w:val="left" w:pos="8640"/>
        </w:tabs>
        <w:autoSpaceDE w:val="0"/>
        <w:snapToGrid w:val="0"/>
        <w:spacing w:line="460" w:lineRule="exact"/>
        <w:jc w:val="center"/>
        <w:rPr>
          <w:rFonts w:ascii="標楷體" w:eastAsia="標楷體" w:hAnsi="標楷體"/>
          <w:b/>
          <w:sz w:val="28"/>
          <w:szCs w:val="28"/>
        </w:rPr>
      </w:pPr>
      <w:r>
        <w:rPr>
          <w:rFonts w:ascii="標楷體" w:eastAsia="標楷體" w:hAnsi="標楷體"/>
          <w:b/>
          <w:sz w:val="28"/>
          <w:szCs w:val="28"/>
        </w:rPr>
        <w:t>第五章</w:t>
      </w:r>
      <w:r>
        <w:rPr>
          <w:rFonts w:ascii="標楷體" w:eastAsia="標楷體" w:hAnsi="標楷體"/>
          <w:b/>
          <w:sz w:val="28"/>
          <w:szCs w:val="28"/>
        </w:rPr>
        <w:t xml:space="preserve">  </w:t>
      </w:r>
      <w:r>
        <w:rPr>
          <w:rFonts w:ascii="標楷體" w:eastAsia="標楷體" w:hAnsi="標楷體"/>
          <w:b/>
          <w:sz w:val="28"/>
          <w:szCs w:val="28"/>
        </w:rPr>
        <w:t>附</w:t>
      </w:r>
      <w:r>
        <w:rPr>
          <w:rFonts w:ascii="標楷體" w:eastAsia="標楷體" w:hAnsi="標楷體"/>
          <w:b/>
          <w:sz w:val="28"/>
          <w:szCs w:val="28"/>
        </w:rPr>
        <w:t xml:space="preserve">  </w:t>
      </w:r>
      <w:r>
        <w:rPr>
          <w:rFonts w:ascii="標楷體" w:eastAsia="標楷體" w:hAnsi="標楷體"/>
          <w:b/>
          <w:sz w:val="28"/>
          <w:szCs w:val="28"/>
        </w:rPr>
        <w:t>則</w:t>
      </w:r>
    </w:p>
    <w:p w:rsidR="00207FE4" w:rsidRDefault="008533E9">
      <w:pPr>
        <w:autoSpaceDE w:val="0"/>
        <w:snapToGrid w:val="0"/>
        <w:spacing w:line="460" w:lineRule="exact"/>
        <w:ind w:left="1120" w:hanging="1120"/>
        <w:rPr>
          <w:rFonts w:ascii="標楷體" w:eastAsia="標楷體" w:hAnsi="標楷體" w:cs="細明體"/>
          <w:sz w:val="28"/>
          <w:szCs w:val="28"/>
        </w:rPr>
      </w:pPr>
      <w:r>
        <w:rPr>
          <w:rFonts w:ascii="標楷體" w:eastAsia="標楷體" w:hAnsi="標楷體" w:cs="細明體"/>
          <w:sz w:val="28"/>
          <w:szCs w:val="28"/>
        </w:rPr>
        <w:t>第二十條</w:t>
      </w:r>
      <w:r>
        <w:rPr>
          <w:rFonts w:ascii="標楷體" w:eastAsia="標楷體" w:hAnsi="標楷體" w:cs="細明體"/>
          <w:sz w:val="28"/>
          <w:szCs w:val="28"/>
        </w:rPr>
        <w:t xml:space="preserve">    </w:t>
      </w:r>
      <w:r>
        <w:rPr>
          <w:rFonts w:ascii="標楷體" w:eastAsia="標楷體" w:hAnsi="標楷體" w:cs="細明體"/>
          <w:sz w:val="28"/>
          <w:szCs w:val="28"/>
        </w:rPr>
        <w:t>本規則實施作業規定由營運機構擬訂，報請本府核定。</w:t>
      </w:r>
    </w:p>
    <w:p w:rsidR="00207FE4" w:rsidRDefault="008533E9">
      <w:pPr>
        <w:autoSpaceDE w:val="0"/>
        <w:snapToGrid w:val="0"/>
        <w:spacing w:line="460" w:lineRule="exact"/>
        <w:ind w:left="1960" w:hanging="1960"/>
        <w:rPr>
          <w:rFonts w:ascii="標楷體" w:eastAsia="標楷體" w:hAnsi="標楷體" w:cs="細明體"/>
          <w:sz w:val="28"/>
          <w:szCs w:val="28"/>
        </w:rPr>
      </w:pPr>
      <w:r>
        <w:rPr>
          <w:rFonts w:ascii="標楷體" w:eastAsia="標楷體" w:hAnsi="標楷體" w:cs="細明體"/>
          <w:sz w:val="28"/>
          <w:szCs w:val="28"/>
        </w:rPr>
        <w:t>第二十一條</w:t>
      </w:r>
      <w:r>
        <w:rPr>
          <w:rFonts w:ascii="標楷體" w:eastAsia="標楷體" w:hAnsi="標楷體" w:cs="細明體"/>
          <w:sz w:val="28"/>
          <w:szCs w:val="28"/>
        </w:rPr>
        <w:t xml:space="preserve">    </w:t>
      </w:r>
      <w:r>
        <w:rPr>
          <w:rFonts w:ascii="標楷體" w:eastAsia="標楷體" w:hAnsi="標楷體" w:cs="細明體"/>
          <w:sz w:val="28"/>
          <w:szCs w:val="28"/>
        </w:rPr>
        <w:t>本規則自發布日施行。</w:t>
      </w:r>
    </w:p>
    <w:p w:rsidR="00207FE4" w:rsidRDefault="00207FE4">
      <w:pPr>
        <w:widowControl/>
        <w:rPr>
          <w:rFonts w:ascii="標楷體" w:eastAsia="標楷體" w:hAnsi="標楷體" w:cs="標楷體"/>
          <w:bCs/>
          <w:sz w:val="28"/>
          <w:szCs w:val="32"/>
        </w:rPr>
      </w:pPr>
    </w:p>
    <w:p w:rsidR="00207FE4" w:rsidRDefault="00207FE4"/>
    <w:sectPr w:rsidR="00207FE4">
      <w:pgSz w:w="11906" w:h="16838"/>
      <w:pgMar w:top="1418" w:right="1418" w:bottom="1418" w:left="1701" w:header="720" w:footer="720" w:gutter="0"/>
      <w:cols w:space="720"/>
      <w:docGrid w:type="lines" w:linePitch="3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33E9" w:rsidRDefault="008533E9">
      <w:r>
        <w:separator/>
      </w:r>
    </w:p>
  </w:endnote>
  <w:endnote w:type="continuationSeparator" w:id="0">
    <w:p w:rsidR="008533E9" w:rsidRDefault="00853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33E9" w:rsidRDefault="008533E9">
      <w:r>
        <w:rPr>
          <w:color w:val="000000"/>
        </w:rPr>
        <w:separator/>
      </w:r>
    </w:p>
  </w:footnote>
  <w:footnote w:type="continuationSeparator" w:id="0">
    <w:p w:rsidR="008533E9" w:rsidRDefault="008533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6319FB"/>
    <w:multiLevelType w:val="multilevel"/>
    <w:tmpl w:val="B0482FF4"/>
    <w:lvl w:ilvl="0">
      <w:start w:val="1"/>
      <w:numFmt w:val="taiwaneseCountingThousand"/>
      <w:lvlText w:val="%1、"/>
      <w:lvlJc w:val="left"/>
      <w:pPr>
        <w:ind w:left="2040" w:hanging="480"/>
      </w:pPr>
    </w:lvl>
    <w:lvl w:ilvl="1">
      <w:start w:val="1"/>
      <w:numFmt w:val="ideographTraditional"/>
      <w:lvlText w:val="%2、"/>
      <w:lvlJc w:val="left"/>
      <w:pPr>
        <w:ind w:left="2520" w:hanging="480"/>
      </w:pPr>
    </w:lvl>
    <w:lvl w:ilvl="2">
      <w:start w:val="1"/>
      <w:numFmt w:val="lowerRoman"/>
      <w:lvlText w:val="%3."/>
      <w:lvlJc w:val="right"/>
      <w:pPr>
        <w:ind w:left="3000" w:hanging="480"/>
      </w:pPr>
    </w:lvl>
    <w:lvl w:ilvl="3">
      <w:start w:val="1"/>
      <w:numFmt w:val="decimal"/>
      <w:lvlText w:val="%4."/>
      <w:lvlJc w:val="left"/>
      <w:pPr>
        <w:ind w:left="3480" w:hanging="480"/>
      </w:pPr>
    </w:lvl>
    <w:lvl w:ilvl="4">
      <w:start w:val="1"/>
      <w:numFmt w:val="ideographTraditional"/>
      <w:lvlText w:val="%5、"/>
      <w:lvlJc w:val="left"/>
      <w:pPr>
        <w:ind w:left="3960" w:hanging="480"/>
      </w:pPr>
    </w:lvl>
    <w:lvl w:ilvl="5">
      <w:start w:val="1"/>
      <w:numFmt w:val="lowerRoman"/>
      <w:lvlText w:val="%6."/>
      <w:lvlJc w:val="right"/>
      <w:pPr>
        <w:ind w:left="4440" w:hanging="480"/>
      </w:pPr>
    </w:lvl>
    <w:lvl w:ilvl="6">
      <w:start w:val="1"/>
      <w:numFmt w:val="decimal"/>
      <w:lvlText w:val="%7."/>
      <w:lvlJc w:val="left"/>
      <w:pPr>
        <w:ind w:left="4920" w:hanging="480"/>
      </w:pPr>
    </w:lvl>
    <w:lvl w:ilvl="7">
      <w:start w:val="1"/>
      <w:numFmt w:val="ideographTraditional"/>
      <w:lvlText w:val="%8、"/>
      <w:lvlJc w:val="left"/>
      <w:pPr>
        <w:ind w:left="5400" w:hanging="480"/>
      </w:pPr>
    </w:lvl>
    <w:lvl w:ilvl="8">
      <w:start w:val="1"/>
      <w:numFmt w:val="lowerRoman"/>
      <w:lvlText w:val="%9."/>
      <w:lvlJc w:val="right"/>
      <w:pPr>
        <w:ind w:left="5880" w:hanging="480"/>
      </w:pPr>
    </w:lvl>
  </w:abstractNum>
  <w:abstractNum w:abstractNumId="1" w15:restartNumberingAfterBreak="0">
    <w:nsid w:val="28575A26"/>
    <w:multiLevelType w:val="multilevel"/>
    <w:tmpl w:val="611CF1D2"/>
    <w:lvl w:ilvl="0">
      <w:start w:val="1"/>
      <w:numFmt w:val="taiwaneseCountingThousand"/>
      <w:lvlText w:val="%1、"/>
      <w:lvlJc w:val="left"/>
      <w:pPr>
        <w:ind w:left="600" w:hanging="480"/>
      </w:pPr>
    </w:lvl>
    <w:lvl w:ilvl="1">
      <w:start w:val="1"/>
      <w:numFmt w:val="ideographTraditional"/>
      <w:lvlText w:val="%2、"/>
      <w:lvlJc w:val="left"/>
      <w:pPr>
        <w:ind w:left="1080" w:hanging="480"/>
      </w:pPr>
    </w:lvl>
    <w:lvl w:ilvl="2">
      <w:start w:val="1"/>
      <w:numFmt w:val="lowerRoman"/>
      <w:lvlText w:val="%3."/>
      <w:lvlJc w:val="right"/>
      <w:pPr>
        <w:ind w:left="1560" w:hanging="480"/>
      </w:pPr>
    </w:lvl>
    <w:lvl w:ilvl="3">
      <w:start w:val="1"/>
      <w:numFmt w:val="decimal"/>
      <w:lvlText w:val="%4."/>
      <w:lvlJc w:val="left"/>
      <w:pPr>
        <w:ind w:left="2040" w:hanging="480"/>
      </w:pPr>
    </w:lvl>
    <w:lvl w:ilvl="4">
      <w:start w:val="1"/>
      <w:numFmt w:val="ideographTraditional"/>
      <w:lvlText w:val="%5、"/>
      <w:lvlJc w:val="left"/>
      <w:pPr>
        <w:ind w:left="2520" w:hanging="480"/>
      </w:pPr>
    </w:lvl>
    <w:lvl w:ilvl="5">
      <w:start w:val="1"/>
      <w:numFmt w:val="lowerRoman"/>
      <w:lvlText w:val="%6."/>
      <w:lvlJc w:val="right"/>
      <w:pPr>
        <w:ind w:left="3000" w:hanging="480"/>
      </w:pPr>
    </w:lvl>
    <w:lvl w:ilvl="6">
      <w:start w:val="1"/>
      <w:numFmt w:val="decimal"/>
      <w:lvlText w:val="%7."/>
      <w:lvlJc w:val="left"/>
      <w:pPr>
        <w:ind w:left="3480" w:hanging="480"/>
      </w:pPr>
    </w:lvl>
    <w:lvl w:ilvl="7">
      <w:start w:val="1"/>
      <w:numFmt w:val="ideographTraditional"/>
      <w:lvlText w:val="%8、"/>
      <w:lvlJc w:val="left"/>
      <w:pPr>
        <w:ind w:left="3960" w:hanging="480"/>
      </w:pPr>
    </w:lvl>
    <w:lvl w:ilvl="8">
      <w:start w:val="1"/>
      <w:numFmt w:val="lowerRoman"/>
      <w:lvlText w:val="%9."/>
      <w:lvlJc w:val="right"/>
      <w:pPr>
        <w:ind w:left="4440" w:hanging="480"/>
      </w:pPr>
    </w:lvl>
  </w:abstractNum>
  <w:abstractNum w:abstractNumId="2" w15:restartNumberingAfterBreak="0">
    <w:nsid w:val="288B23B2"/>
    <w:multiLevelType w:val="hybridMultilevel"/>
    <w:tmpl w:val="2E049428"/>
    <w:lvl w:ilvl="0" w:tplc="7550040A">
      <w:start w:val="1"/>
      <w:numFmt w:val="taiwaneseCountingThousand"/>
      <w:lvlText w:val="第%1章"/>
      <w:lvlJc w:val="left"/>
      <w:pPr>
        <w:ind w:left="810" w:hanging="8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170645B"/>
    <w:multiLevelType w:val="multilevel"/>
    <w:tmpl w:val="6D8C230A"/>
    <w:styleLink w:val="WWOutlineListStyle"/>
    <w:lvl w:ilvl="0">
      <w:start w:val="1"/>
      <w:numFmt w:val="decimal"/>
      <w:pStyle w:val="HSR1"/>
      <w:lvlText w:val="%1.0"/>
      <w:lvlJc w:val="left"/>
      <w:pPr>
        <w:ind w:left="851" w:hanging="851"/>
      </w:pPr>
      <w:rPr>
        <w:rFonts w:ascii="Times New Roman" w:eastAsia="標楷體" w:hAnsi="Times New Roman" w:cs="Times New Roman"/>
        <w:b/>
        <w:i w:val="0"/>
        <w:sz w:val="24"/>
      </w:rPr>
    </w:lvl>
    <w:lvl w:ilvl="1">
      <w:start w:val="1"/>
      <w:numFmt w:val="decimal"/>
      <w:pStyle w:val="HSR2"/>
      <w:lvlText w:val="%1.%2"/>
      <w:lvlJc w:val="left"/>
      <w:pPr>
        <w:ind w:left="851" w:hanging="851"/>
      </w:pPr>
      <w:rPr>
        <w:rFonts w:ascii="Times New Roman" w:eastAsia="標楷體" w:hAnsi="Times New Roman" w:cs="Times New Roman"/>
        <w:b w:val="0"/>
        <w:i w:val="0"/>
        <w:sz w:val="24"/>
      </w:rPr>
    </w:lvl>
    <w:lvl w:ilvl="2">
      <w:start w:val="1"/>
      <w:numFmt w:val="decimal"/>
      <w:pStyle w:val="HSR3"/>
      <w:lvlText w:val="%1.%2.%3"/>
      <w:lvlJc w:val="left"/>
      <w:pPr>
        <w:ind w:left="1277" w:hanging="851"/>
      </w:pPr>
      <w:rPr>
        <w:rFonts w:ascii="Times New Roman" w:eastAsia="標楷體" w:hAnsi="Times New Roman" w:cs="Times New Roman"/>
        <w:b w:val="0"/>
        <w:i w:val="0"/>
        <w:sz w:val="24"/>
      </w:rPr>
    </w:lvl>
    <w:lvl w:ilvl="3">
      <w:start w:val="1"/>
      <w:numFmt w:val="lowerRoman"/>
      <w:pStyle w:val="HSR4"/>
      <w:lvlText w:val="%4)"/>
      <w:lvlJc w:val="left"/>
      <w:pPr>
        <w:ind w:left="1985" w:hanging="709"/>
      </w:pPr>
      <w:rPr>
        <w:b w:val="0"/>
        <w:i w:val="0"/>
        <w:sz w:val="24"/>
      </w:rPr>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3AF62D20"/>
    <w:multiLevelType w:val="multilevel"/>
    <w:tmpl w:val="C1102590"/>
    <w:lvl w:ilvl="0">
      <w:start w:val="1"/>
      <w:numFmt w:val="taiwaneseCountingThousand"/>
      <w:lvlText w:val="%1、"/>
      <w:lvlJc w:val="left"/>
      <w:pPr>
        <w:ind w:left="2160" w:hanging="480"/>
      </w:pPr>
    </w:lvl>
    <w:lvl w:ilvl="1">
      <w:start w:val="1"/>
      <w:numFmt w:val="ideographTraditional"/>
      <w:lvlText w:val="%2、"/>
      <w:lvlJc w:val="left"/>
      <w:pPr>
        <w:ind w:left="2640" w:hanging="480"/>
      </w:pPr>
    </w:lvl>
    <w:lvl w:ilvl="2">
      <w:start w:val="1"/>
      <w:numFmt w:val="lowerRoman"/>
      <w:lvlText w:val="%3."/>
      <w:lvlJc w:val="right"/>
      <w:pPr>
        <w:ind w:left="3120" w:hanging="480"/>
      </w:pPr>
    </w:lvl>
    <w:lvl w:ilvl="3">
      <w:start w:val="1"/>
      <w:numFmt w:val="decimal"/>
      <w:lvlText w:val="%4."/>
      <w:lvlJc w:val="left"/>
      <w:pPr>
        <w:ind w:left="3600" w:hanging="480"/>
      </w:pPr>
    </w:lvl>
    <w:lvl w:ilvl="4">
      <w:start w:val="1"/>
      <w:numFmt w:val="ideographTraditional"/>
      <w:lvlText w:val="%5、"/>
      <w:lvlJc w:val="left"/>
      <w:pPr>
        <w:ind w:left="4080" w:hanging="480"/>
      </w:pPr>
    </w:lvl>
    <w:lvl w:ilvl="5">
      <w:start w:val="1"/>
      <w:numFmt w:val="lowerRoman"/>
      <w:lvlText w:val="%6."/>
      <w:lvlJc w:val="right"/>
      <w:pPr>
        <w:ind w:left="4560" w:hanging="480"/>
      </w:pPr>
    </w:lvl>
    <w:lvl w:ilvl="6">
      <w:start w:val="1"/>
      <w:numFmt w:val="decimal"/>
      <w:lvlText w:val="%7."/>
      <w:lvlJc w:val="left"/>
      <w:pPr>
        <w:ind w:left="5040" w:hanging="480"/>
      </w:pPr>
    </w:lvl>
    <w:lvl w:ilvl="7">
      <w:start w:val="1"/>
      <w:numFmt w:val="ideographTraditional"/>
      <w:lvlText w:val="%8、"/>
      <w:lvlJc w:val="left"/>
      <w:pPr>
        <w:ind w:left="5520" w:hanging="480"/>
      </w:pPr>
    </w:lvl>
    <w:lvl w:ilvl="8">
      <w:start w:val="1"/>
      <w:numFmt w:val="lowerRoman"/>
      <w:lvlText w:val="%9."/>
      <w:lvlJc w:val="right"/>
      <w:pPr>
        <w:ind w:left="6000" w:hanging="480"/>
      </w:pPr>
    </w:lvl>
  </w:abstractNum>
  <w:abstractNum w:abstractNumId="5" w15:restartNumberingAfterBreak="0">
    <w:nsid w:val="47AB358D"/>
    <w:multiLevelType w:val="multilevel"/>
    <w:tmpl w:val="4D3452B0"/>
    <w:lvl w:ilvl="0">
      <w:start w:val="1"/>
      <w:numFmt w:val="taiwaneseCountingThousand"/>
      <w:lvlText w:val="%1、"/>
      <w:lvlJc w:val="left"/>
      <w:pPr>
        <w:ind w:left="720" w:hanging="480"/>
      </w:p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6" w15:restartNumberingAfterBreak="0">
    <w:nsid w:val="4B275D86"/>
    <w:multiLevelType w:val="multilevel"/>
    <w:tmpl w:val="65F259B0"/>
    <w:styleLink w:val="LFO1"/>
    <w:lvl w:ilvl="0">
      <w:start w:val="1"/>
      <w:numFmt w:val="decimal"/>
      <w:pStyle w:val="HSR7"/>
      <w:lvlText w:val="%1.0"/>
      <w:lvlJc w:val="left"/>
      <w:pPr>
        <w:ind w:left="851" w:hanging="851"/>
      </w:pPr>
      <w:rPr>
        <w:rFonts w:ascii="Times New Roman" w:eastAsia="標楷體" w:hAnsi="Times New Roman" w:cs="Times New Roman"/>
        <w:b/>
        <w:i w:val="0"/>
        <w:sz w:val="24"/>
      </w:rPr>
    </w:lvl>
    <w:lvl w:ilvl="1">
      <w:start w:val="1"/>
      <w:numFmt w:val="decimal"/>
      <w:lvlText w:val="%1.%2"/>
      <w:lvlJc w:val="left"/>
      <w:pPr>
        <w:ind w:left="851" w:hanging="851"/>
      </w:pPr>
      <w:rPr>
        <w:rFonts w:ascii="Times New Roman" w:eastAsia="標楷體" w:hAnsi="Times New Roman" w:cs="Times New Roman"/>
        <w:b w:val="0"/>
        <w:i w:val="0"/>
        <w:sz w:val="24"/>
      </w:rPr>
    </w:lvl>
    <w:lvl w:ilvl="2">
      <w:start w:val="1"/>
      <w:numFmt w:val="decimal"/>
      <w:lvlText w:val="%1.%2.%3"/>
      <w:lvlJc w:val="left"/>
      <w:pPr>
        <w:ind w:left="1277" w:hanging="851"/>
      </w:pPr>
      <w:rPr>
        <w:rFonts w:ascii="Times New Roman" w:eastAsia="標楷體" w:hAnsi="Times New Roman" w:cs="Times New Roman"/>
        <w:b w:val="0"/>
        <w:i w:val="0"/>
        <w:sz w:val="24"/>
      </w:rPr>
    </w:lvl>
    <w:lvl w:ilvl="3">
      <w:start w:val="1"/>
      <w:numFmt w:val="decimal"/>
      <w:lvlText w:val="%1.%2.%3.%4"/>
      <w:lvlJc w:val="left"/>
      <w:pPr>
        <w:ind w:left="851" w:hanging="851"/>
      </w:pPr>
      <w:rPr>
        <w:rFonts w:ascii="Times New Roman" w:eastAsia="標楷體" w:hAnsi="Times New Roman" w:cs="Times New Roman"/>
        <w:b w:val="0"/>
        <w:i w:val="0"/>
        <w:color w:val="auto"/>
        <w:sz w:val="24"/>
      </w:rPr>
    </w:lvl>
    <w:lvl w:ilvl="4">
      <w:start w:val="1"/>
      <w:numFmt w:val="lowerLetter"/>
      <w:lvlText w:val="%5)"/>
      <w:lvlJc w:val="left"/>
      <w:pPr>
        <w:ind w:left="1276" w:hanging="425"/>
      </w:pPr>
      <w:rPr>
        <w:rFonts w:ascii="Times New Roman" w:eastAsia="標楷體" w:hAnsi="Times New Roman" w:cs="Times New Roman"/>
        <w:b w:val="0"/>
        <w:i w:val="0"/>
        <w:color w:val="auto"/>
        <w:sz w:val="24"/>
      </w:rPr>
    </w:lvl>
    <w:lvl w:ilvl="5">
      <w:start w:val="1"/>
      <w:numFmt w:val="lowerRoman"/>
      <w:lvlText w:val="%6)"/>
      <w:lvlJc w:val="left"/>
      <w:pPr>
        <w:ind w:left="1985" w:hanging="709"/>
      </w:pPr>
      <w:rPr>
        <w:b w:val="0"/>
        <w:i w:val="0"/>
        <w:sz w:val="24"/>
      </w:rPr>
    </w:lvl>
    <w:lvl w:ilvl="6">
      <w:start w:val="1"/>
      <w:numFmt w:val="decimal"/>
      <w:lvlText w:val="(%7)"/>
      <w:lvlJc w:val="left"/>
      <w:pPr>
        <w:ind w:left="2410" w:hanging="425"/>
      </w:pPr>
      <w:rPr>
        <w:rFonts w:ascii="Times New Roman" w:eastAsia="標楷體" w:hAnsi="Times New Roman" w:cs="Times New Roman"/>
      </w:rPr>
    </w:lvl>
    <w:lvl w:ilvl="7">
      <w:numFmt w:val="bullet"/>
      <w:lvlText w:val=""/>
      <w:lvlJc w:val="left"/>
      <w:pPr>
        <w:ind w:left="2835" w:hanging="425"/>
      </w:pPr>
      <w:rPr>
        <w:rFonts w:ascii="Symbol" w:hAnsi="Symbol"/>
        <w:color w:val="auto"/>
      </w:rPr>
    </w:lvl>
    <w:lvl w:ilvl="8">
      <w:start w:val="1"/>
      <w:numFmt w:val="none"/>
      <w:lvlText w:val="%9"/>
      <w:lvlJc w:val="left"/>
      <w:pPr>
        <w:ind w:left="2410" w:firstLine="0"/>
      </w:pPr>
      <w:rPr>
        <w:rFonts w:ascii="Wingdings" w:hAnsi="Wingdings"/>
      </w:rPr>
    </w:lvl>
  </w:abstractNum>
  <w:abstractNum w:abstractNumId="7" w15:restartNumberingAfterBreak="0">
    <w:nsid w:val="4E211CAE"/>
    <w:multiLevelType w:val="multilevel"/>
    <w:tmpl w:val="126E85F8"/>
    <w:lvl w:ilvl="0">
      <w:start w:val="1"/>
      <w:numFmt w:val="taiwaneseCountingThousand"/>
      <w:lvlText w:val="%1、"/>
      <w:lvlJc w:val="left"/>
      <w:pPr>
        <w:ind w:left="1920" w:hanging="480"/>
      </w:p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8" w15:restartNumberingAfterBreak="0">
    <w:nsid w:val="61A40A73"/>
    <w:multiLevelType w:val="multilevel"/>
    <w:tmpl w:val="3F0AAD5E"/>
    <w:lvl w:ilvl="0">
      <w:start w:val="1"/>
      <w:numFmt w:val="taiwaneseCountingThousand"/>
      <w:lvlText w:val="%1、"/>
      <w:lvlJc w:val="left"/>
      <w:pPr>
        <w:ind w:left="1048" w:hanging="480"/>
      </w:pPr>
      <w:rPr>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74D569DC"/>
    <w:multiLevelType w:val="multilevel"/>
    <w:tmpl w:val="F2704F9E"/>
    <w:lvl w:ilvl="0">
      <w:start w:val="1"/>
      <w:numFmt w:val="taiwaneseCountingThousand"/>
      <w:lvlText w:val="%1、"/>
      <w:lvlJc w:val="left"/>
      <w:pPr>
        <w:ind w:left="600" w:hanging="480"/>
      </w:pPr>
      <w:rPr>
        <w:rFonts w:ascii="標楷體" w:eastAsia="標楷體" w:hAnsi="標楷體"/>
      </w:rPr>
    </w:lvl>
    <w:lvl w:ilvl="1">
      <w:start w:val="1"/>
      <w:numFmt w:val="ideographTraditional"/>
      <w:lvlText w:val="%2、"/>
      <w:lvlJc w:val="left"/>
      <w:pPr>
        <w:ind w:left="1080" w:hanging="480"/>
      </w:pPr>
    </w:lvl>
    <w:lvl w:ilvl="2">
      <w:start w:val="1"/>
      <w:numFmt w:val="lowerRoman"/>
      <w:lvlText w:val="%3."/>
      <w:lvlJc w:val="right"/>
      <w:pPr>
        <w:ind w:left="1560" w:hanging="480"/>
      </w:pPr>
    </w:lvl>
    <w:lvl w:ilvl="3">
      <w:start w:val="1"/>
      <w:numFmt w:val="decimal"/>
      <w:lvlText w:val="%4."/>
      <w:lvlJc w:val="left"/>
      <w:pPr>
        <w:ind w:left="2040" w:hanging="480"/>
      </w:pPr>
    </w:lvl>
    <w:lvl w:ilvl="4">
      <w:start w:val="1"/>
      <w:numFmt w:val="ideographTraditional"/>
      <w:lvlText w:val="%5、"/>
      <w:lvlJc w:val="left"/>
      <w:pPr>
        <w:ind w:left="2520" w:hanging="480"/>
      </w:pPr>
    </w:lvl>
    <w:lvl w:ilvl="5">
      <w:start w:val="1"/>
      <w:numFmt w:val="lowerRoman"/>
      <w:lvlText w:val="%6."/>
      <w:lvlJc w:val="right"/>
      <w:pPr>
        <w:ind w:left="3000" w:hanging="480"/>
      </w:pPr>
    </w:lvl>
    <w:lvl w:ilvl="6">
      <w:start w:val="1"/>
      <w:numFmt w:val="decimal"/>
      <w:lvlText w:val="%7."/>
      <w:lvlJc w:val="left"/>
      <w:pPr>
        <w:ind w:left="3480" w:hanging="480"/>
      </w:pPr>
    </w:lvl>
    <w:lvl w:ilvl="7">
      <w:start w:val="1"/>
      <w:numFmt w:val="ideographTraditional"/>
      <w:lvlText w:val="%8、"/>
      <w:lvlJc w:val="left"/>
      <w:pPr>
        <w:ind w:left="3960" w:hanging="480"/>
      </w:pPr>
    </w:lvl>
    <w:lvl w:ilvl="8">
      <w:start w:val="1"/>
      <w:numFmt w:val="lowerRoman"/>
      <w:lvlText w:val="%9."/>
      <w:lvlJc w:val="right"/>
      <w:pPr>
        <w:ind w:left="4440" w:hanging="480"/>
      </w:pPr>
    </w:lvl>
  </w:abstractNum>
  <w:num w:numId="1">
    <w:abstractNumId w:val="3"/>
  </w:num>
  <w:num w:numId="2">
    <w:abstractNumId w:val="6"/>
  </w:num>
  <w:num w:numId="3">
    <w:abstractNumId w:val="8"/>
  </w:num>
  <w:num w:numId="4">
    <w:abstractNumId w:val="5"/>
  </w:num>
  <w:num w:numId="5">
    <w:abstractNumId w:val="9"/>
  </w:num>
  <w:num w:numId="6">
    <w:abstractNumId w:val="1"/>
  </w:num>
  <w:num w:numId="7">
    <w:abstractNumId w:val="7"/>
  </w:num>
  <w:num w:numId="8">
    <w:abstractNumId w:val="0"/>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207FE4"/>
    <w:rsid w:val="00207FE4"/>
    <w:rsid w:val="008533E9"/>
    <w:rsid w:val="00C54796"/>
    <w:rsid w:val="00CC7E6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91889"/>
  <w15:docId w15:val="{988BB6D8-3A81-4B78-A540-04682D46A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rFonts w:ascii="Times New Roman" w:hAnsi="Times New Roman"/>
      <w:szCs w:val="20"/>
    </w:rPr>
  </w:style>
  <w:style w:type="paragraph" w:styleId="1">
    <w:name w:val="heading 1"/>
    <w:basedOn w:val="a"/>
    <w:next w:val="a"/>
    <w:pPr>
      <w:keepNext/>
      <w:spacing w:before="180" w:after="180" w:line="720" w:lineRule="auto"/>
      <w:outlineLvl w:val="0"/>
    </w:pPr>
    <w:rPr>
      <w:rFonts w:ascii="Cambria" w:hAnsi="Cambria"/>
      <w:b/>
      <w:bCs/>
      <w:sz w:val="52"/>
      <w:szCs w:val="52"/>
    </w:rPr>
  </w:style>
  <w:style w:type="paragraph" w:styleId="2">
    <w:name w:val="heading 2"/>
    <w:basedOn w:val="a"/>
    <w:next w:val="a"/>
    <w:pPr>
      <w:keepNext/>
      <w:spacing w:line="720" w:lineRule="auto"/>
      <w:outlineLvl w:val="1"/>
    </w:pPr>
    <w:rPr>
      <w:rFonts w:ascii="Cambria" w:hAnsi="Cambria"/>
      <w:b/>
      <w:bCs/>
      <w:sz w:val="48"/>
      <w:szCs w:val="48"/>
    </w:rPr>
  </w:style>
  <w:style w:type="paragraph" w:styleId="3">
    <w:name w:val="heading 3"/>
    <w:basedOn w:val="a"/>
    <w:next w:val="a"/>
    <w:pPr>
      <w:keepNext/>
      <w:spacing w:line="720" w:lineRule="auto"/>
      <w:outlineLvl w:val="2"/>
    </w:pPr>
    <w:rPr>
      <w:rFonts w:ascii="Cambria" w:hAnsi="Cambria"/>
      <w:b/>
      <w:bCs/>
      <w:sz w:val="36"/>
      <w:szCs w:val="36"/>
    </w:rPr>
  </w:style>
  <w:style w:type="paragraph" w:styleId="4">
    <w:name w:val="heading 4"/>
    <w:basedOn w:val="a"/>
    <w:next w:val="a"/>
    <w:pPr>
      <w:keepNext/>
      <w:spacing w:line="720" w:lineRule="auto"/>
      <w:outlineLvl w:val="3"/>
    </w:pPr>
    <w:rPr>
      <w:rFonts w:ascii="Cambria" w:hAnsi="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
    <w:name w:val="WW_OutlineListStyle"/>
    <w:basedOn w:val="a2"/>
    <w:pPr>
      <w:numPr>
        <w:numId w:val="1"/>
      </w:numPr>
    </w:pPr>
  </w:style>
  <w:style w:type="paragraph" w:customStyle="1" w:styleId="HSR1">
    <w:name w:val="HSR.標題.1"/>
    <w:basedOn w:val="1"/>
    <w:pPr>
      <w:keepNext w:val="0"/>
      <w:numPr>
        <w:numId w:val="1"/>
      </w:numPr>
      <w:tabs>
        <w:tab w:val="left" w:pos="360"/>
        <w:tab w:val="left" w:pos="851"/>
      </w:tabs>
      <w:snapToGrid w:val="0"/>
      <w:spacing w:before="240" w:after="120" w:line="240" w:lineRule="auto"/>
    </w:pPr>
    <w:rPr>
      <w:rFonts w:ascii="Times New Roman" w:eastAsia="標楷體" w:hAnsi="Times New Roman"/>
      <w:bCs w:val="0"/>
      <w:sz w:val="24"/>
      <w:szCs w:val="20"/>
    </w:rPr>
  </w:style>
  <w:style w:type="paragraph" w:customStyle="1" w:styleId="HSR2">
    <w:name w:val="HSR.標題.2"/>
    <w:basedOn w:val="2"/>
    <w:pPr>
      <w:keepNext w:val="0"/>
      <w:numPr>
        <w:ilvl w:val="1"/>
        <w:numId w:val="1"/>
      </w:numPr>
      <w:tabs>
        <w:tab w:val="left" w:pos="360"/>
        <w:tab w:val="left" w:pos="851"/>
      </w:tabs>
      <w:spacing w:before="120" w:after="120" w:line="240" w:lineRule="auto"/>
      <w:jc w:val="both"/>
    </w:pPr>
    <w:rPr>
      <w:rFonts w:ascii="Times New Roman" w:eastAsia="標楷體" w:hAnsi="Times New Roman"/>
      <w:b w:val="0"/>
      <w:bCs w:val="0"/>
      <w:sz w:val="24"/>
      <w:szCs w:val="20"/>
    </w:rPr>
  </w:style>
  <w:style w:type="paragraph" w:customStyle="1" w:styleId="HSR3">
    <w:name w:val="HSR.標題.3"/>
    <w:basedOn w:val="3"/>
    <w:pPr>
      <w:keepNext w:val="0"/>
      <w:numPr>
        <w:ilvl w:val="2"/>
        <w:numId w:val="1"/>
      </w:numPr>
      <w:tabs>
        <w:tab w:val="left" w:pos="360"/>
        <w:tab w:val="left" w:pos="1277"/>
      </w:tabs>
      <w:spacing w:before="120" w:after="120" w:line="240" w:lineRule="auto"/>
      <w:jc w:val="both"/>
    </w:pPr>
    <w:rPr>
      <w:rFonts w:ascii="Times New Roman" w:eastAsia="標楷體" w:hAnsi="Times New Roman"/>
      <w:b w:val="0"/>
      <w:bCs w:val="0"/>
      <w:sz w:val="24"/>
      <w:szCs w:val="20"/>
    </w:rPr>
  </w:style>
  <w:style w:type="paragraph" w:customStyle="1" w:styleId="HSR4">
    <w:name w:val="HSR.標題.4"/>
    <w:basedOn w:val="4"/>
    <w:pPr>
      <w:keepNext w:val="0"/>
      <w:numPr>
        <w:ilvl w:val="3"/>
        <w:numId w:val="1"/>
      </w:numPr>
      <w:tabs>
        <w:tab w:val="left" w:pos="360"/>
        <w:tab w:val="left" w:pos="1985"/>
      </w:tabs>
      <w:spacing w:before="120" w:after="120" w:line="240" w:lineRule="auto"/>
      <w:jc w:val="both"/>
    </w:pPr>
    <w:rPr>
      <w:rFonts w:ascii="Times New Roman" w:eastAsia="標楷體" w:hAnsi="Times New Roman"/>
      <w:kern w:val="0"/>
      <w:sz w:val="24"/>
      <w:szCs w:val="20"/>
    </w:rPr>
  </w:style>
  <w:style w:type="paragraph" w:styleId="a3">
    <w:name w:val="Body Text Indent"/>
    <w:basedOn w:val="a"/>
    <w:pPr>
      <w:tabs>
        <w:tab w:val="left" w:pos="3120"/>
        <w:tab w:val="left" w:pos="3840"/>
        <w:tab w:val="left" w:pos="4560"/>
        <w:tab w:val="left" w:pos="4715"/>
      </w:tabs>
      <w:spacing w:before="60" w:after="60" w:line="400" w:lineRule="exact"/>
      <w:ind w:left="540" w:firstLine="20"/>
    </w:pPr>
    <w:rPr>
      <w:rFonts w:eastAsia="標楷體"/>
      <w:sz w:val="28"/>
      <w:szCs w:val="28"/>
    </w:rPr>
  </w:style>
  <w:style w:type="character" w:customStyle="1" w:styleId="a4">
    <w:name w:val="本文縮排 字元"/>
    <w:basedOn w:val="a0"/>
    <w:rPr>
      <w:rFonts w:ascii="Times New Roman" w:eastAsia="標楷體" w:hAnsi="Times New Roman" w:cs="Times New Roman"/>
      <w:sz w:val="28"/>
      <w:szCs w:val="28"/>
    </w:rPr>
  </w:style>
  <w:style w:type="paragraph" w:customStyle="1" w:styleId="HSR6">
    <w:name w:val="HSR.標題.6"/>
    <w:basedOn w:val="a"/>
    <w:pPr>
      <w:keepNext/>
      <w:spacing w:before="120" w:after="120"/>
    </w:pPr>
    <w:rPr>
      <w:rFonts w:eastAsia="標楷體"/>
      <w:kern w:val="0"/>
    </w:rPr>
  </w:style>
  <w:style w:type="paragraph" w:customStyle="1" w:styleId="HSR7">
    <w:name w:val="HSR.標題.7"/>
    <w:basedOn w:val="a"/>
    <w:pPr>
      <w:keepNext/>
      <w:numPr>
        <w:numId w:val="2"/>
      </w:numPr>
      <w:spacing w:before="120" w:after="120"/>
    </w:pPr>
    <w:rPr>
      <w:rFonts w:eastAsia="標楷體"/>
      <w:kern w:val="0"/>
    </w:rPr>
  </w:style>
  <w:style w:type="character" w:customStyle="1" w:styleId="10">
    <w:name w:val="標題 1 字元"/>
    <w:basedOn w:val="a0"/>
    <w:rPr>
      <w:rFonts w:ascii="Cambria" w:eastAsia="新細明體" w:hAnsi="Cambria" w:cs="Times New Roman"/>
      <w:b/>
      <w:bCs/>
      <w:kern w:val="3"/>
      <w:sz w:val="52"/>
      <w:szCs w:val="52"/>
    </w:rPr>
  </w:style>
  <w:style w:type="character" w:customStyle="1" w:styleId="20">
    <w:name w:val="標題 2 字元"/>
    <w:basedOn w:val="a0"/>
    <w:rPr>
      <w:rFonts w:ascii="Cambria" w:eastAsia="新細明體" w:hAnsi="Cambria" w:cs="Times New Roman"/>
      <w:b/>
      <w:bCs/>
      <w:sz w:val="48"/>
      <w:szCs w:val="48"/>
    </w:rPr>
  </w:style>
  <w:style w:type="character" w:customStyle="1" w:styleId="30">
    <w:name w:val="標題 3 字元"/>
    <w:basedOn w:val="a0"/>
    <w:rPr>
      <w:rFonts w:ascii="Cambria" w:eastAsia="新細明體" w:hAnsi="Cambria" w:cs="Times New Roman"/>
      <w:b/>
      <w:bCs/>
      <w:sz w:val="36"/>
      <w:szCs w:val="36"/>
    </w:rPr>
  </w:style>
  <w:style w:type="character" w:customStyle="1" w:styleId="40">
    <w:name w:val="標題 4 字元"/>
    <w:basedOn w:val="a0"/>
    <w:rPr>
      <w:rFonts w:ascii="Cambria" w:eastAsia="新細明體" w:hAnsi="Cambria" w:cs="Times New Roman"/>
      <w:sz w:val="36"/>
      <w:szCs w:val="36"/>
    </w:rPr>
  </w:style>
  <w:style w:type="paragraph" w:styleId="a5">
    <w:name w:val="List Paragraph"/>
    <w:basedOn w:val="a"/>
    <w:pPr>
      <w:ind w:left="480"/>
    </w:pPr>
  </w:style>
  <w:style w:type="numbering" w:customStyle="1" w:styleId="LFO1">
    <w:name w:val="LFO1"/>
    <w:basedOn w:val="a2"/>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568</Words>
  <Characters>3238</Characters>
  <Application>Microsoft Office Word</Application>
  <DocSecurity>0</DocSecurity>
  <Lines>26</Lines>
  <Paragraphs>7</Paragraphs>
  <ScaleCrop>false</ScaleCrop>
  <Company/>
  <LinksUpToDate>false</LinksUpToDate>
  <CharactersWithSpaces>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dc:creator>
  <cp:lastModifiedBy>丁寶富</cp:lastModifiedBy>
  <cp:revision>3</cp:revision>
  <cp:lastPrinted>2018-10-22T01:07:00Z</cp:lastPrinted>
  <dcterms:created xsi:type="dcterms:W3CDTF">2019-01-08T00:40:00Z</dcterms:created>
  <dcterms:modified xsi:type="dcterms:W3CDTF">2019-01-08T00:43:00Z</dcterms:modified>
</cp:coreProperties>
</file>