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C2E" w:rsidRDefault="00384CAA">
      <w:pPr>
        <w:spacing w:line="460" w:lineRule="exact"/>
        <w:jc w:val="both"/>
        <w:rPr>
          <w:rFonts w:ascii="標楷體" w:eastAsia="標楷體" w:hAnsi="標楷體"/>
          <w:sz w:val="40"/>
          <w:szCs w:val="40"/>
        </w:rPr>
      </w:pPr>
      <w:bookmarkStart w:id="0" w:name="_GoBack"/>
      <w:bookmarkEnd w:id="0"/>
      <w:r>
        <w:rPr>
          <w:rFonts w:ascii="標楷體" w:eastAsia="標楷體" w:hAnsi="標楷體"/>
          <w:sz w:val="40"/>
          <w:szCs w:val="40"/>
        </w:rPr>
        <w:t>臺中市政府財政局菸酒查緝車輛管理及使用要點</w:t>
      </w:r>
    </w:p>
    <w:p w:rsidR="00141C2E" w:rsidRDefault="00141C2E">
      <w:pPr>
        <w:rPr>
          <w:rFonts w:ascii="新細明體" w:hAnsi="新細明體"/>
        </w:rPr>
      </w:pPr>
    </w:p>
    <w:p w:rsidR="00141C2E" w:rsidRDefault="00384CAA">
      <w:pPr>
        <w:overflowPunct w:val="0"/>
        <w:spacing w:line="460" w:lineRule="exact"/>
        <w:jc w:val="right"/>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102</w:t>
      </w:r>
      <w:r>
        <w:rPr>
          <w:rFonts w:ascii="標楷體" w:eastAsia="標楷體" w:hAnsi="標楷體"/>
          <w:sz w:val="20"/>
          <w:szCs w:val="20"/>
        </w:rPr>
        <w:t>年</w:t>
      </w:r>
      <w:r>
        <w:rPr>
          <w:rFonts w:ascii="標楷體" w:eastAsia="標楷體" w:hAnsi="標楷體"/>
          <w:sz w:val="20"/>
          <w:szCs w:val="20"/>
        </w:rPr>
        <w:t>3</w:t>
      </w:r>
      <w:r>
        <w:rPr>
          <w:rFonts w:ascii="標楷體" w:eastAsia="標楷體" w:hAnsi="標楷體"/>
          <w:sz w:val="20"/>
          <w:szCs w:val="20"/>
        </w:rPr>
        <w:t>月</w:t>
      </w:r>
      <w:r>
        <w:rPr>
          <w:rFonts w:ascii="標楷體" w:eastAsia="標楷體" w:hAnsi="標楷體"/>
          <w:sz w:val="20"/>
          <w:szCs w:val="20"/>
        </w:rPr>
        <w:t>13</w:t>
      </w:r>
      <w:r>
        <w:rPr>
          <w:rFonts w:ascii="標楷體" w:eastAsia="標楷體" w:hAnsi="標楷體"/>
          <w:sz w:val="20"/>
          <w:szCs w:val="20"/>
        </w:rPr>
        <w:t>日中市財菸字第</w:t>
      </w:r>
      <w:r>
        <w:rPr>
          <w:rFonts w:ascii="標楷體" w:eastAsia="標楷體" w:hAnsi="標楷體"/>
          <w:sz w:val="20"/>
          <w:szCs w:val="20"/>
        </w:rPr>
        <w:t>1020003733</w:t>
      </w:r>
      <w:r>
        <w:rPr>
          <w:rFonts w:ascii="標楷體" w:eastAsia="標楷體" w:hAnsi="標楷體"/>
          <w:sz w:val="20"/>
          <w:szCs w:val="20"/>
        </w:rPr>
        <w:t>號函訂定</w:t>
      </w:r>
    </w:p>
    <w:p w:rsidR="00141C2E" w:rsidRDefault="00384CAA">
      <w:pPr>
        <w:wordWrap w:val="0"/>
        <w:overflowPunct w:val="0"/>
        <w:spacing w:line="460" w:lineRule="exact"/>
        <w:jc w:val="right"/>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102</w:t>
      </w:r>
      <w:r>
        <w:rPr>
          <w:rFonts w:ascii="標楷體" w:eastAsia="標楷體" w:hAnsi="標楷體"/>
          <w:sz w:val="20"/>
          <w:szCs w:val="20"/>
        </w:rPr>
        <w:t>年</w:t>
      </w:r>
      <w:r>
        <w:rPr>
          <w:rFonts w:ascii="標楷體" w:eastAsia="標楷體" w:hAnsi="標楷體"/>
          <w:sz w:val="20"/>
          <w:szCs w:val="20"/>
        </w:rPr>
        <w:t>7</w:t>
      </w:r>
      <w:r>
        <w:rPr>
          <w:rFonts w:ascii="標楷體" w:eastAsia="標楷體" w:hAnsi="標楷體"/>
          <w:sz w:val="20"/>
          <w:szCs w:val="20"/>
        </w:rPr>
        <w:t>月</w:t>
      </w:r>
      <w:r>
        <w:rPr>
          <w:rFonts w:ascii="標楷體" w:eastAsia="標楷體" w:hAnsi="標楷體"/>
          <w:sz w:val="20"/>
          <w:szCs w:val="20"/>
        </w:rPr>
        <w:t>24</w:t>
      </w:r>
      <w:r>
        <w:rPr>
          <w:rFonts w:ascii="標楷體" w:eastAsia="標楷體" w:hAnsi="標楷體"/>
          <w:sz w:val="20"/>
          <w:szCs w:val="20"/>
        </w:rPr>
        <w:t>日中市財菸字第</w:t>
      </w:r>
      <w:r>
        <w:rPr>
          <w:rFonts w:ascii="標楷體" w:eastAsia="標楷體" w:hAnsi="標楷體"/>
          <w:sz w:val="20"/>
          <w:szCs w:val="20"/>
        </w:rPr>
        <w:t>1020010563</w:t>
      </w:r>
      <w:r>
        <w:rPr>
          <w:rFonts w:ascii="標楷體" w:eastAsia="標楷體" w:hAnsi="標楷體"/>
          <w:sz w:val="20"/>
          <w:szCs w:val="20"/>
        </w:rPr>
        <w:t>號函修正</w:t>
      </w:r>
    </w:p>
    <w:p w:rsidR="00141C2E" w:rsidRDefault="00384CAA">
      <w:pPr>
        <w:overflowPunct w:val="0"/>
        <w:spacing w:line="460" w:lineRule="exact"/>
        <w:jc w:val="right"/>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107</w:t>
      </w:r>
      <w:r>
        <w:rPr>
          <w:rFonts w:ascii="標楷體" w:eastAsia="標楷體" w:hAnsi="標楷體"/>
          <w:sz w:val="20"/>
          <w:szCs w:val="20"/>
        </w:rPr>
        <w:t>年</w:t>
      </w:r>
      <w:r>
        <w:rPr>
          <w:rFonts w:ascii="標楷體" w:eastAsia="標楷體" w:hAnsi="標楷體"/>
          <w:sz w:val="20"/>
          <w:szCs w:val="20"/>
        </w:rPr>
        <w:t>7</w:t>
      </w:r>
      <w:r>
        <w:rPr>
          <w:rFonts w:ascii="標楷體" w:eastAsia="標楷體" w:hAnsi="標楷體"/>
          <w:sz w:val="20"/>
          <w:szCs w:val="20"/>
        </w:rPr>
        <w:t>月</w:t>
      </w:r>
      <w:r>
        <w:rPr>
          <w:rFonts w:ascii="標楷體" w:eastAsia="標楷體" w:hAnsi="標楷體"/>
          <w:sz w:val="20"/>
          <w:szCs w:val="20"/>
        </w:rPr>
        <w:t>24</w:t>
      </w:r>
      <w:r>
        <w:rPr>
          <w:rFonts w:ascii="標楷體" w:eastAsia="標楷體" w:hAnsi="標楷體"/>
          <w:sz w:val="20"/>
          <w:szCs w:val="20"/>
        </w:rPr>
        <w:t>日中市財菸字第</w:t>
      </w:r>
      <w:r>
        <w:rPr>
          <w:rFonts w:ascii="標楷體" w:eastAsia="標楷體" w:hAnsi="標楷體"/>
          <w:sz w:val="20"/>
          <w:szCs w:val="20"/>
        </w:rPr>
        <w:t>10700094991</w:t>
      </w:r>
      <w:r>
        <w:rPr>
          <w:rFonts w:ascii="標楷體" w:eastAsia="標楷體" w:hAnsi="標楷體"/>
          <w:sz w:val="20"/>
          <w:szCs w:val="20"/>
        </w:rPr>
        <w:t>號令修正</w:t>
      </w:r>
    </w:p>
    <w:p w:rsidR="00141C2E" w:rsidRDefault="00141C2E">
      <w:pPr>
        <w:overflowPunct w:val="0"/>
        <w:spacing w:line="460" w:lineRule="exact"/>
        <w:jc w:val="right"/>
        <w:rPr>
          <w:rFonts w:ascii="標楷體" w:eastAsia="標楷體" w:hAnsi="標楷體"/>
          <w:sz w:val="22"/>
        </w:rPr>
      </w:pP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一、臺中市政府財政局</w:t>
      </w:r>
      <w:r>
        <w:rPr>
          <w:rFonts w:ascii="標楷體" w:eastAsia="標楷體" w:hAnsi="標楷體" w:cs="標楷體"/>
          <w:sz w:val="28"/>
          <w:szCs w:val="28"/>
        </w:rPr>
        <w:t>(</w:t>
      </w:r>
      <w:r>
        <w:rPr>
          <w:rFonts w:ascii="標楷體" w:eastAsia="標楷體" w:hAnsi="標楷體" w:cs="標楷體"/>
          <w:sz w:val="28"/>
          <w:szCs w:val="28"/>
        </w:rPr>
        <w:t>以下簡稱財政局</w:t>
      </w:r>
      <w:r>
        <w:rPr>
          <w:rFonts w:ascii="標楷體" w:eastAsia="標楷體" w:hAnsi="標楷體" w:cs="標楷體"/>
          <w:sz w:val="28"/>
          <w:szCs w:val="28"/>
        </w:rPr>
        <w:t>)</w:t>
      </w:r>
      <w:r>
        <w:rPr>
          <w:rFonts w:ascii="標楷體" w:eastAsia="標楷體" w:hAnsi="標楷體" w:cs="標楷體"/>
          <w:sz w:val="28"/>
          <w:szCs w:val="28"/>
        </w:rPr>
        <w:t>為執行菸酒管理及查緝工作，特訂定本管理及使用要點。</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二、本要點所稱菸酒查緝車輛，為財政部菸品健康福利捐供私劣菸品查緝經費補助購置，並經財政局指定為菸酒查緝用途之車輛。</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三、查緝車輛由業務單位負責管理。</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四、使用菸酒查緝車輛，應符合下列用途：</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（一）執行菸酒稽查取締業務者。</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（二）辦理菸酒管理及輔導業務者。</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（三）執行菸酒扣押物載運。</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五、使用查緝汽車，應事先填寫派車單經核派始可行駛，但遇查緝緊急事件不及事先申請，應於事後補辦申請手續。查緝汽車於使用完畢後由駕駛人將行車狀況詳細記載於行車紀錄表連同派車單送交管理人員。</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六、查緝汽車行駛地點以派車單所填地點為限，</w:t>
      </w:r>
      <w:r>
        <w:rPr>
          <w:rFonts w:ascii="標楷體" w:eastAsia="標楷體" w:hAnsi="標楷體" w:cs="標楷體"/>
          <w:sz w:val="28"/>
          <w:szCs w:val="28"/>
        </w:rPr>
        <w:t>不得挪為私用，申請人如因公務需要臨時改赴他處，事後應補填派車單。</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七、查緝汽車應依行車紀錄表或里程數定期實施檢查保養，機件如有損壞由車輛管理人員依規定程序填具車輛請修單，經核定後始得辦理檢修。查緝汽車在行駛路程中發生故障，應立即通報管理人員，並得由駕駛人先行做必要處理，但應於事後依規定補辦請修手續。</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八、查緝汽車各該駕駛人應將車輛停放指定地點，如因執行查緝業務未停於指定地點，應善盡保管維護之責，如有遺失或損毀，除因天然災害或不可抗力之事由，經查明屬實者外，應負賠償責任，並應於遺失或毀損之日起三個月內賠償完畢</w:t>
      </w:r>
      <w:r>
        <w:rPr>
          <w:rFonts w:ascii="標楷體" w:eastAsia="標楷體" w:hAnsi="標楷體" w:cs="標楷體"/>
          <w:sz w:val="28"/>
          <w:szCs w:val="28"/>
        </w:rPr>
        <w:t>(</w:t>
      </w:r>
      <w:r>
        <w:rPr>
          <w:rFonts w:ascii="標楷體" w:eastAsia="標楷體" w:hAnsi="標楷體" w:cs="標楷體"/>
          <w:sz w:val="28"/>
          <w:szCs w:val="28"/>
        </w:rPr>
        <w:t>按使用之年限折舊計算</w:t>
      </w:r>
      <w:r>
        <w:rPr>
          <w:rFonts w:ascii="標楷體" w:eastAsia="標楷體" w:hAnsi="標楷體" w:cs="標楷體"/>
          <w:sz w:val="28"/>
          <w:szCs w:val="28"/>
        </w:rPr>
        <w:t>)</w:t>
      </w:r>
      <w:r>
        <w:rPr>
          <w:rFonts w:ascii="標楷體" w:eastAsia="標楷體" w:hAnsi="標楷體" w:cs="標楷體"/>
          <w:sz w:val="28"/>
          <w:szCs w:val="28"/>
        </w:rPr>
        <w:t>。</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九、查緝車輛管理人員應依規定將查緝車輛投保強制汽</w:t>
      </w:r>
      <w:r>
        <w:rPr>
          <w:rFonts w:ascii="標楷體" w:eastAsia="標楷體" w:hAnsi="標楷體" w:cs="標楷體"/>
          <w:sz w:val="28"/>
          <w:szCs w:val="28"/>
        </w:rPr>
        <w:t>(</w:t>
      </w:r>
      <w:r>
        <w:rPr>
          <w:rFonts w:ascii="標楷體" w:eastAsia="標楷體" w:hAnsi="標楷體" w:cs="標楷體"/>
          <w:sz w:val="28"/>
          <w:szCs w:val="28"/>
        </w:rPr>
        <w:t>機</w:t>
      </w:r>
      <w:r>
        <w:rPr>
          <w:rFonts w:ascii="標楷體" w:eastAsia="標楷體" w:hAnsi="標楷體" w:cs="標楷體"/>
          <w:sz w:val="28"/>
          <w:szCs w:val="28"/>
        </w:rPr>
        <w:t>)</w:t>
      </w:r>
      <w:r>
        <w:rPr>
          <w:rFonts w:ascii="標楷體" w:eastAsia="標楷體" w:hAnsi="標楷體" w:cs="標楷體"/>
          <w:sz w:val="28"/>
          <w:szCs w:val="28"/>
        </w:rPr>
        <w:t>車責任保險、</w:t>
      </w:r>
      <w:r>
        <w:rPr>
          <w:rFonts w:ascii="標楷體" w:eastAsia="標楷體" w:hAnsi="標楷體" w:cs="標楷體"/>
          <w:sz w:val="28"/>
          <w:szCs w:val="28"/>
        </w:rPr>
        <w:lastRenderedPageBreak/>
        <w:t>汽車第三人責任險及視需要投保其他任意險，並辦理車輛檢驗。</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十、駕駛人或借用人使用查緝汽車，應以加油卡添加油料，並將收據</w:t>
      </w:r>
      <w:r>
        <w:rPr>
          <w:rFonts w:ascii="標楷體" w:eastAsia="標楷體" w:hAnsi="標楷體" w:cs="標楷體"/>
          <w:sz w:val="28"/>
          <w:szCs w:val="28"/>
        </w:rPr>
        <w:t>(</w:t>
      </w:r>
      <w:r>
        <w:rPr>
          <w:rFonts w:ascii="標楷體" w:eastAsia="標楷體" w:hAnsi="標楷體" w:cs="標楷體"/>
          <w:sz w:val="28"/>
          <w:szCs w:val="28"/>
        </w:rPr>
        <w:t>加油確認單</w:t>
      </w:r>
      <w:r>
        <w:rPr>
          <w:rFonts w:ascii="標楷體" w:eastAsia="標楷體" w:hAnsi="標楷體" w:cs="標楷體"/>
          <w:sz w:val="28"/>
          <w:szCs w:val="28"/>
        </w:rPr>
        <w:t>)</w:t>
      </w:r>
      <w:r>
        <w:rPr>
          <w:rFonts w:ascii="標楷體" w:eastAsia="標楷體" w:hAnsi="標楷體" w:cs="標楷體"/>
          <w:sz w:val="28"/>
          <w:szCs w:val="28"/>
        </w:rPr>
        <w:t>送交管理人員，以為油料核銷依據。</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十一、查緝汽車調派，在不影響菸酒業務執行原</w:t>
      </w:r>
      <w:r>
        <w:rPr>
          <w:rFonts w:ascii="標楷體" w:eastAsia="標楷體" w:hAnsi="標楷體" w:cs="標楷體"/>
          <w:sz w:val="28"/>
          <w:szCs w:val="28"/>
        </w:rPr>
        <w:t>則下，得由財政局各科</w:t>
      </w:r>
      <w:r>
        <w:rPr>
          <w:rFonts w:ascii="標楷體" w:eastAsia="標楷體" w:hAnsi="標楷體" w:cs="標楷體"/>
          <w:sz w:val="28"/>
          <w:szCs w:val="28"/>
        </w:rPr>
        <w:t>(</w:t>
      </w:r>
      <w:r>
        <w:rPr>
          <w:rFonts w:ascii="標楷體" w:eastAsia="標楷體" w:hAnsi="標楷體" w:cs="標楷體"/>
          <w:sz w:val="28"/>
          <w:szCs w:val="28"/>
        </w:rPr>
        <w:t>室</w:t>
      </w:r>
      <w:r>
        <w:rPr>
          <w:rFonts w:ascii="標楷體" w:eastAsia="標楷體" w:hAnsi="標楷體" w:cs="標楷體"/>
          <w:sz w:val="28"/>
          <w:szCs w:val="28"/>
        </w:rPr>
        <w:t>)</w:t>
      </w:r>
      <w:r>
        <w:rPr>
          <w:rFonts w:ascii="標楷體" w:eastAsia="標楷體" w:hAnsi="標楷體" w:cs="標楷體"/>
          <w:sz w:val="28"/>
          <w:szCs w:val="28"/>
        </w:rPr>
        <w:t>依公務需要辦理借用。</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十二、查緝機車由保管使用人負責管理及保養，對所保管使用之機車，應善盡保管維護之責，如有遺失或毀損，除因天然災害或不可抗力之事由，經查明屬實者外，應負賠償責任，並應於遺失或毀損之日起三個月內賠償完畢</w:t>
      </w:r>
      <w:r>
        <w:rPr>
          <w:rFonts w:ascii="標楷體" w:eastAsia="標楷體" w:hAnsi="標楷體" w:cs="標楷體"/>
          <w:sz w:val="28"/>
          <w:szCs w:val="28"/>
        </w:rPr>
        <w:t>(</w:t>
      </w:r>
      <w:r>
        <w:rPr>
          <w:rFonts w:ascii="標楷體" w:eastAsia="標楷體" w:hAnsi="標楷體" w:cs="標楷體"/>
          <w:sz w:val="28"/>
          <w:szCs w:val="28"/>
        </w:rPr>
        <w:t>按使用之年限折舊計算</w:t>
      </w:r>
      <w:r>
        <w:rPr>
          <w:rFonts w:ascii="標楷體" w:eastAsia="標楷體" w:hAnsi="標楷體" w:cs="標楷體"/>
          <w:sz w:val="28"/>
          <w:szCs w:val="28"/>
        </w:rPr>
        <w:t>)</w:t>
      </w:r>
      <w:r>
        <w:rPr>
          <w:rFonts w:ascii="標楷體" w:eastAsia="標楷體" w:hAnsi="標楷體" w:cs="標楷體"/>
          <w:sz w:val="28"/>
          <w:szCs w:val="28"/>
        </w:rPr>
        <w:t>。</w:t>
      </w:r>
    </w:p>
    <w:p w:rsidR="00141C2E" w:rsidRDefault="00384CAA">
      <w:pPr>
        <w:spacing w:line="460" w:lineRule="exact"/>
        <w:ind w:left="560" w:hanging="560"/>
        <w:jc w:val="both"/>
        <w:rPr>
          <w:rFonts w:ascii="標楷體" w:eastAsia="標楷體" w:hAnsi="標楷體" w:cs="標楷體"/>
          <w:sz w:val="28"/>
          <w:szCs w:val="28"/>
        </w:rPr>
      </w:pPr>
      <w:r>
        <w:rPr>
          <w:rFonts w:ascii="標楷體" w:eastAsia="標楷體" w:hAnsi="標楷體" w:cs="標楷體"/>
          <w:sz w:val="28"/>
          <w:szCs w:val="28"/>
        </w:rPr>
        <w:t>十三、本規定未盡事宜，依臺中市政府及所屬各機關公務車輛採購作業及管理使用要點辦理。</w:t>
      </w:r>
    </w:p>
    <w:p w:rsidR="00141C2E" w:rsidRDefault="00141C2E">
      <w:pPr>
        <w:spacing w:line="460" w:lineRule="exact"/>
        <w:ind w:left="560" w:hanging="560"/>
        <w:jc w:val="both"/>
        <w:rPr>
          <w:rFonts w:ascii="標楷體" w:eastAsia="標楷體" w:hAnsi="標楷體" w:cs="標楷體"/>
          <w:sz w:val="28"/>
          <w:szCs w:val="28"/>
        </w:rPr>
      </w:pPr>
    </w:p>
    <w:sectPr w:rsidR="00141C2E">
      <w:footerReference w:type="default" r:id="rId6"/>
      <w:pgSz w:w="11906" w:h="16838"/>
      <w:pgMar w:top="1418" w:right="1418" w:bottom="1418" w:left="1701" w:header="851" w:footer="992" w:gutter="0"/>
      <w:cols w:space="720"/>
      <w:docGrid w:type="lines" w:linePitch="4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CAA" w:rsidRDefault="00384CAA">
      <w:r>
        <w:separator/>
      </w:r>
    </w:p>
  </w:endnote>
  <w:endnote w:type="continuationSeparator" w:id="0">
    <w:p w:rsidR="00384CAA" w:rsidRDefault="00384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C02" w:rsidRDefault="00384CAA">
    <w:pPr>
      <w:pStyle w:val="a5"/>
      <w:jc w:val="center"/>
    </w:pPr>
    <w:r>
      <w:rPr>
        <w:lang w:val="zh-TW"/>
      </w:rPr>
      <w:fldChar w:fldCharType="begin"/>
    </w:r>
    <w:r>
      <w:rPr>
        <w:lang w:val="zh-TW"/>
      </w:rPr>
      <w:instrText xml:space="preserve"> PAGE </w:instrText>
    </w:r>
    <w:r>
      <w:rPr>
        <w:lang w:val="zh-TW"/>
      </w:rPr>
      <w:fldChar w:fldCharType="separate"/>
    </w:r>
    <w:r w:rsidR="007B2AC3">
      <w:rPr>
        <w:noProof/>
        <w:lang w:val="zh-TW"/>
      </w:rPr>
      <w:t>1</w:t>
    </w:r>
    <w:r>
      <w:rPr>
        <w:lang w:val="zh-TW"/>
      </w:rPr>
      <w:fldChar w:fldCharType="end"/>
    </w:r>
  </w:p>
  <w:p w:rsidR="00A01C02" w:rsidRDefault="00384CA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CAA" w:rsidRDefault="00384CAA">
      <w:r>
        <w:rPr>
          <w:color w:val="000000"/>
        </w:rPr>
        <w:separator/>
      </w:r>
    </w:p>
  </w:footnote>
  <w:footnote w:type="continuationSeparator" w:id="0">
    <w:p w:rsidR="00384CAA" w:rsidRDefault="00384C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141C2E"/>
    <w:rsid w:val="00141C2E"/>
    <w:rsid w:val="00384CAA"/>
    <w:rsid w:val="007B2A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3EC081-7A02-4303-B1BB-63D25645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2">
    <w:name w:val="Body Text Indent 2"/>
    <w:basedOn w:val="a"/>
    <w:pPr>
      <w:ind w:left="1260"/>
    </w:pPr>
    <w:rPr>
      <w:rFonts w:ascii="Times New Roman" w:eastAsia="標楷體" w:hAnsi="Times New Roman"/>
      <w:szCs w:val="24"/>
    </w:rPr>
  </w:style>
  <w:style w:type="character" w:customStyle="1" w:styleId="20">
    <w:name w:val="本文縮排 2 字元"/>
    <w:basedOn w:val="a0"/>
    <w:rPr>
      <w:rFonts w:ascii="Times New Roman" w:eastAsia="標楷體" w:hAnsi="Times New Roman" w:cs="Times New Roman"/>
      <w:szCs w:val="24"/>
    </w:rPr>
  </w:style>
  <w:style w:type="paragraph" w:styleId="a7">
    <w:name w:val="List Paragraph"/>
    <w:basedOn w:val="a"/>
    <w:pPr>
      <w:ind w:left="480"/>
    </w:p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character" w:styleId="aa">
    <w:name w:val="Placeholder Text"/>
    <w:basedOn w:val="a0"/>
    <w:rPr>
      <w:color w:val="808080"/>
    </w:rPr>
  </w:style>
  <w:style w:type="paragraph" w:styleId="Web">
    <w:name w:val="Normal (Web)"/>
    <w:basedOn w:val="a"/>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151</Words>
  <Characters>863</Characters>
  <Application>Microsoft Office Word</Application>
  <DocSecurity>0</DocSecurity>
  <Lines>7</Lines>
  <Paragraphs>2</Paragraphs>
  <ScaleCrop>false</ScaleCrop>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賴雅雯</dc:creator>
  <cp:lastModifiedBy>李春杉</cp:lastModifiedBy>
  <cp:revision>2</cp:revision>
  <cp:lastPrinted>2018-07-19T01:12:00Z</cp:lastPrinted>
  <dcterms:created xsi:type="dcterms:W3CDTF">2018-07-25T07:20:00Z</dcterms:created>
  <dcterms:modified xsi:type="dcterms:W3CDTF">2018-07-25T07:20:00Z</dcterms:modified>
</cp:coreProperties>
</file>