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17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4"/>
        <w:gridCol w:w="2746"/>
        <w:gridCol w:w="2746"/>
      </w:tblGrid>
      <w:tr w:rsidR="00DB60C4" w:rsidRPr="00DB60C4" w:rsidTr="00C729DB">
        <w:trPr>
          <w:cantSplit/>
          <w:trHeight w:val="454"/>
          <w:tblHeader/>
        </w:trPr>
        <w:tc>
          <w:tcPr>
            <w:tcW w:w="5000" w:type="pct"/>
            <w:gridSpan w:val="3"/>
            <w:tcBorders>
              <w:top w:val="nil"/>
              <w:left w:val="nil"/>
              <w:bottom w:val="single" w:sz="4" w:space="0" w:color="auto"/>
              <w:right w:val="nil"/>
            </w:tcBorders>
            <w:vAlign w:val="center"/>
          </w:tcPr>
          <w:p w:rsidR="00DB60C4" w:rsidRPr="00DB60C4" w:rsidRDefault="00DB60C4" w:rsidP="00DB60C4">
            <w:pPr>
              <w:adjustRightInd w:val="0"/>
              <w:snapToGrid w:val="0"/>
              <w:spacing w:line="460" w:lineRule="exact"/>
              <w:rPr>
                <w:rFonts w:ascii="標楷體" w:eastAsia="標楷體" w:hAnsi="標楷體"/>
                <w:sz w:val="40"/>
                <w:szCs w:val="40"/>
              </w:rPr>
            </w:pPr>
            <w:bookmarkStart w:id="0" w:name="_GoBack"/>
            <w:bookmarkEnd w:id="0"/>
            <w:r w:rsidRPr="00DB60C4">
              <w:rPr>
                <w:b/>
              </w:rPr>
              <w:br w:type="page"/>
            </w:r>
            <w:proofErr w:type="gramStart"/>
            <w:r w:rsidRPr="00DB60C4">
              <w:rPr>
                <w:rFonts w:ascii="標楷體" w:eastAsia="標楷體" w:hAnsi="標楷體" w:hint="eastAsia"/>
                <w:sz w:val="40"/>
                <w:szCs w:val="40"/>
              </w:rPr>
              <w:t>臺</w:t>
            </w:r>
            <w:proofErr w:type="gramEnd"/>
            <w:r w:rsidRPr="00DB60C4">
              <w:rPr>
                <w:rFonts w:ascii="標楷體" w:eastAsia="標楷體" w:hAnsi="標楷體" w:hint="eastAsia"/>
                <w:sz w:val="40"/>
                <w:szCs w:val="40"/>
              </w:rPr>
              <w:t>中市一般廢棄物清除處理基金收支保管及運用辦法第四條修正草案條文對照表</w:t>
            </w:r>
          </w:p>
        </w:tc>
      </w:tr>
      <w:tr w:rsidR="00DB60C4" w:rsidRPr="00DB60C4" w:rsidTr="00C729DB">
        <w:trPr>
          <w:cantSplit/>
          <w:trHeight w:val="454"/>
          <w:tblHeader/>
        </w:trPr>
        <w:tc>
          <w:tcPr>
            <w:tcW w:w="1694" w:type="pct"/>
            <w:tcBorders>
              <w:top w:val="single" w:sz="4" w:space="0" w:color="auto"/>
            </w:tcBorders>
            <w:vAlign w:val="center"/>
          </w:tcPr>
          <w:p w:rsidR="00DB60C4" w:rsidRPr="00DB60C4" w:rsidRDefault="00DB60C4" w:rsidP="00DB60C4">
            <w:pPr>
              <w:adjustRightInd w:val="0"/>
              <w:snapToGrid w:val="0"/>
              <w:jc w:val="center"/>
              <w:rPr>
                <w:rFonts w:ascii="標楷體" w:eastAsia="標楷體" w:hAnsi="標楷體"/>
                <w:szCs w:val="24"/>
              </w:rPr>
            </w:pPr>
            <w:r w:rsidRPr="00DB60C4">
              <w:rPr>
                <w:rFonts w:ascii="標楷體" w:eastAsia="標楷體" w:hAnsi="標楷體" w:hint="eastAsia"/>
                <w:szCs w:val="24"/>
              </w:rPr>
              <w:t>修正條文</w:t>
            </w:r>
          </w:p>
        </w:tc>
        <w:tc>
          <w:tcPr>
            <w:tcW w:w="1653" w:type="pct"/>
            <w:tcBorders>
              <w:top w:val="single" w:sz="4" w:space="0" w:color="auto"/>
            </w:tcBorders>
            <w:vAlign w:val="center"/>
          </w:tcPr>
          <w:p w:rsidR="00DB60C4" w:rsidRPr="00DB60C4" w:rsidRDefault="00DB60C4" w:rsidP="00DB60C4">
            <w:pPr>
              <w:adjustRightInd w:val="0"/>
              <w:snapToGrid w:val="0"/>
              <w:jc w:val="center"/>
              <w:rPr>
                <w:rFonts w:ascii="標楷體" w:eastAsia="標楷體" w:hAnsi="標楷體"/>
                <w:szCs w:val="24"/>
              </w:rPr>
            </w:pPr>
            <w:r w:rsidRPr="00DB60C4">
              <w:rPr>
                <w:rFonts w:ascii="標楷體" w:eastAsia="標楷體" w:hAnsi="標楷體" w:hint="eastAsia"/>
                <w:szCs w:val="24"/>
              </w:rPr>
              <w:t>現行條文</w:t>
            </w:r>
          </w:p>
        </w:tc>
        <w:tc>
          <w:tcPr>
            <w:tcW w:w="1653" w:type="pct"/>
            <w:tcBorders>
              <w:top w:val="single" w:sz="4" w:space="0" w:color="auto"/>
            </w:tcBorders>
            <w:vAlign w:val="center"/>
          </w:tcPr>
          <w:p w:rsidR="00DB60C4" w:rsidRPr="00DB60C4" w:rsidRDefault="00DB60C4" w:rsidP="00DB60C4">
            <w:pPr>
              <w:adjustRightInd w:val="0"/>
              <w:snapToGrid w:val="0"/>
              <w:jc w:val="center"/>
              <w:rPr>
                <w:rFonts w:ascii="標楷體" w:eastAsia="標楷體" w:hAnsi="標楷體"/>
                <w:szCs w:val="24"/>
              </w:rPr>
            </w:pPr>
            <w:r w:rsidRPr="00DB60C4">
              <w:rPr>
                <w:rFonts w:ascii="標楷體" w:eastAsia="標楷體" w:hAnsi="標楷體" w:hint="eastAsia"/>
                <w:szCs w:val="24"/>
              </w:rPr>
              <w:t>說明</w:t>
            </w:r>
          </w:p>
        </w:tc>
      </w:tr>
      <w:tr w:rsidR="00DB60C4" w:rsidRPr="00DB60C4" w:rsidTr="00C729DB">
        <w:trPr>
          <w:cantSplit/>
          <w:trHeight w:val="903"/>
        </w:trPr>
        <w:tc>
          <w:tcPr>
            <w:tcW w:w="1694" w:type="pct"/>
          </w:tcPr>
          <w:p w:rsidR="00DB60C4" w:rsidRPr="00DB60C4" w:rsidRDefault="00DB60C4" w:rsidP="00B609A1">
            <w:pPr>
              <w:ind w:left="240" w:hangingChars="100" w:hanging="240"/>
              <w:rPr>
                <w:rFonts w:ascii="標楷體" w:eastAsia="標楷體" w:hAnsi="標楷體"/>
                <w:szCs w:val="24"/>
              </w:rPr>
            </w:pPr>
            <w:r w:rsidRPr="00DB60C4">
              <w:rPr>
                <w:rFonts w:ascii="標楷體" w:eastAsia="標楷體" w:hAnsi="標楷體" w:hint="eastAsia"/>
                <w:szCs w:val="24"/>
              </w:rPr>
              <w:t>第四條　本基金之用途</w:t>
            </w:r>
            <w:r>
              <w:rPr>
                <w:rFonts w:ascii="標楷體" w:eastAsia="標楷體" w:hAnsi="標楷體" w:hint="eastAsia"/>
                <w:szCs w:val="24"/>
              </w:rPr>
              <w:t xml:space="preserve">       </w:t>
            </w:r>
            <w:r w:rsidRPr="00DB60C4">
              <w:rPr>
                <w:rFonts w:ascii="標楷體" w:eastAsia="標楷體" w:hAnsi="標楷體" w:hint="eastAsia"/>
                <w:szCs w:val="24"/>
              </w:rPr>
              <w:t>如下：</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一、一般廢棄物清除處理機具或設備、設施之重置支出。</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二、一般廢棄物處理廠（場）之復育支出。</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三、一般廢棄物處理廠（場）硬體設施及各項設備之汰舊換新支出。</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四、一般廢棄物處理廠（場）之建設支出。</w:t>
            </w:r>
          </w:p>
          <w:p w:rsidR="00DB60C4" w:rsidRPr="00DB60C4" w:rsidRDefault="008F097E" w:rsidP="00FA1C0B">
            <w:pPr>
              <w:ind w:left="720" w:hangingChars="300" w:hanging="720"/>
              <w:rPr>
                <w:rFonts w:ascii="標楷體" w:eastAsia="標楷體" w:hAnsi="標楷體"/>
                <w:szCs w:val="24"/>
              </w:rPr>
            </w:pPr>
            <w:r>
              <w:rPr>
                <w:rFonts w:ascii="標楷體" w:eastAsia="標楷體" w:hAnsi="標楷體" w:hint="eastAsia"/>
                <w:szCs w:val="24"/>
              </w:rPr>
              <w:t xml:space="preserve">  </w:t>
            </w:r>
            <w:r w:rsidR="00DB60C4" w:rsidRPr="00DB60C4">
              <w:rPr>
                <w:rFonts w:ascii="標楷體" w:eastAsia="標楷體" w:hAnsi="標楷體" w:hint="eastAsia"/>
                <w:szCs w:val="24"/>
              </w:rPr>
              <w:t>五、</w:t>
            </w:r>
            <w:r w:rsidRPr="00DB60C4">
              <w:rPr>
                <w:rFonts w:ascii="標楷體" w:eastAsia="標楷體" w:hAnsi="標楷體" w:hint="eastAsia"/>
                <w:szCs w:val="24"/>
              </w:rPr>
              <w:t>其他有關一般廢</w:t>
            </w:r>
            <w:r>
              <w:rPr>
                <w:rFonts w:ascii="標楷體" w:eastAsia="標楷體" w:hAnsi="標楷體" w:hint="eastAsia"/>
                <w:szCs w:val="24"/>
              </w:rPr>
              <w:t xml:space="preserve">      </w:t>
            </w:r>
            <w:r w:rsidRPr="00DB60C4">
              <w:rPr>
                <w:rFonts w:ascii="標楷體" w:eastAsia="標楷體" w:hAnsi="標楷體" w:hint="eastAsia"/>
                <w:szCs w:val="24"/>
              </w:rPr>
              <w:t>棄物清除處理業務之資本支出。</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六、環境教育基金用途支出。</w:t>
            </w:r>
          </w:p>
          <w:p w:rsidR="00DB60C4" w:rsidRPr="00DB60C4" w:rsidRDefault="00DB60C4" w:rsidP="00B609A1">
            <w:pPr>
              <w:ind w:leftChars="100" w:left="720" w:hangingChars="200" w:hanging="480"/>
              <w:rPr>
                <w:rFonts w:ascii="標楷體" w:eastAsia="標楷體" w:hAnsi="標楷體"/>
                <w:szCs w:val="24"/>
                <w:u w:val="single"/>
              </w:rPr>
            </w:pPr>
            <w:r w:rsidRPr="00DB60C4">
              <w:rPr>
                <w:rFonts w:ascii="標楷體" w:eastAsia="標楷體" w:hAnsi="標楷體" w:hint="eastAsia"/>
                <w:szCs w:val="24"/>
                <w:u w:val="single"/>
              </w:rPr>
              <w:t>七、購置垃圾子車、廚餘</w:t>
            </w:r>
            <w:r w:rsidR="00A073F4">
              <w:rPr>
                <w:rFonts w:ascii="標楷體" w:eastAsia="標楷體" w:hAnsi="標楷體" w:hint="eastAsia"/>
                <w:szCs w:val="24"/>
                <w:u w:val="single"/>
              </w:rPr>
              <w:t>回收</w:t>
            </w:r>
            <w:r w:rsidRPr="00DB60C4">
              <w:rPr>
                <w:rFonts w:ascii="標楷體" w:eastAsia="標楷體" w:hAnsi="標楷體" w:hint="eastAsia"/>
                <w:szCs w:val="24"/>
                <w:u w:val="single"/>
              </w:rPr>
              <w:t>桶</w:t>
            </w:r>
            <w:r w:rsidR="00A073F4">
              <w:rPr>
                <w:rFonts w:ascii="標楷體" w:eastAsia="標楷體" w:hAnsi="標楷體" w:hint="eastAsia"/>
                <w:szCs w:val="24"/>
                <w:u w:val="single"/>
              </w:rPr>
              <w:t>、資源回收桶</w:t>
            </w:r>
            <w:r w:rsidRPr="00DB60C4">
              <w:rPr>
                <w:rFonts w:ascii="標楷體" w:eastAsia="標楷體" w:hAnsi="標楷體" w:hint="eastAsia"/>
                <w:szCs w:val="24"/>
                <w:u w:val="single"/>
              </w:rPr>
              <w:t>。</w:t>
            </w:r>
          </w:p>
        </w:tc>
        <w:tc>
          <w:tcPr>
            <w:tcW w:w="1653" w:type="pct"/>
          </w:tcPr>
          <w:p w:rsidR="00DB60C4" w:rsidRPr="00DB60C4" w:rsidRDefault="00DB60C4" w:rsidP="00B609A1">
            <w:pPr>
              <w:ind w:left="240" w:hangingChars="100" w:hanging="240"/>
              <w:rPr>
                <w:rFonts w:ascii="標楷體" w:eastAsia="標楷體" w:hAnsi="標楷體"/>
                <w:szCs w:val="24"/>
              </w:rPr>
            </w:pPr>
            <w:r w:rsidRPr="00DB60C4">
              <w:rPr>
                <w:rFonts w:ascii="標楷體" w:eastAsia="標楷體" w:hAnsi="標楷體" w:hint="eastAsia"/>
                <w:szCs w:val="24"/>
              </w:rPr>
              <w:t>第四條　本基金之用途如下：</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一、一般廢棄物清除處理機具或設備、設施之重置支出。</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二、一般廢棄物處理廠（場）之復育支出。</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三、一般廢棄物處理廠（場）硬體設施及各項設備之汰舊換新支出。</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四、一般廢棄物處理廠（場）之建設支出。</w:t>
            </w:r>
          </w:p>
          <w:p w:rsidR="00DB60C4" w:rsidRPr="00DB60C4"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五、其他有關一般廢棄物清除處理業務之資本支出。</w:t>
            </w:r>
          </w:p>
          <w:p w:rsidR="00DB60C4" w:rsidRPr="00B609A1" w:rsidRDefault="00DB60C4" w:rsidP="00B609A1">
            <w:pPr>
              <w:ind w:leftChars="100" w:left="720" w:hangingChars="200" w:hanging="480"/>
              <w:rPr>
                <w:rFonts w:ascii="標楷體" w:eastAsia="標楷體" w:hAnsi="標楷體"/>
                <w:szCs w:val="24"/>
              </w:rPr>
            </w:pPr>
            <w:r w:rsidRPr="00DB60C4">
              <w:rPr>
                <w:rFonts w:ascii="標楷體" w:eastAsia="標楷體" w:hAnsi="標楷體" w:hint="eastAsia"/>
                <w:szCs w:val="24"/>
              </w:rPr>
              <w:t>六、環境教育基金用途支出。</w:t>
            </w:r>
          </w:p>
        </w:tc>
        <w:tc>
          <w:tcPr>
            <w:tcW w:w="1653" w:type="pct"/>
          </w:tcPr>
          <w:p w:rsidR="00DB60C4" w:rsidRPr="00DB60C4" w:rsidRDefault="00DB60C4" w:rsidP="00B609A1">
            <w:pPr>
              <w:jc w:val="both"/>
              <w:rPr>
                <w:rFonts w:ascii="標楷體" w:eastAsia="標楷體" w:hAnsi="標楷體"/>
                <w:szCs w:val="24"/>
              </w:rPr>
            </w:pPr>
            <w:r w:rsidRPr="00DB60C4">
              <w:rPr>
                <w:rFonts w:ascii="標楷體" w:eastAsia="標楷體" w:hAnsi="標楷體" w:hint="eastAsia"/>
                <w:szCs w:val="24"/>
              </w:rPr>
              <w:t>新增第七款，</w:t>
            </w:r>
            <w:proofErr w:type="gramStart"/>
            <w:r w:rsidR="00B609A1">
              <w:rPr>
                <w:rFonts w:ascii="標楷體" w:eastAsia="標楷體" w:hAnsi="標楷體" w:hint="eastAsia"/>
                <w:szCs w:val="24"/>
              </w:rPr>
              <w:t>俾</w:t>
            </w:r>
            <w:proofErr w:type="gramEnd"/>
            <w:r w:rsidR="00B609A1">
              <w:rPr>
                <w:rFonts w:ascii="標楷體" w:eastAsia="標楷體" w:hAnsi="標楷體" w:hint="eastAsia"/>
                <w:szCs w:val="24"/>
              </w:rPr>
              <w:t>利</w:t>
            </w:r>
            <w:r w:rsidRPr="00DB60C4">
              <w:rPr>
                <w:rFonts w:ascii="標楷體" w:eastAsia="標楷體" w:hAnsi="標楷體" w:hint="eastAsia"/>
                <w:szCs w:val="24"/>
              </w:rPr>
              <w:t>後續推動</w:t>
            </w:r>
            <w:proofErr w:type="gramStart"/>
            <w:r w:rsidRPr="00DB60C4">
              <w:rPr>
                <w:rFonts w:ascii="標楷體" w:eastAsia="標楷體" w:hAnsi="標楷體" w:hint="eastAsia"/>
                <w:szCs w:val="24"/>
              </w:rPr>
              <w:t>生熟廚</w:t>
            </w:r>
            <w:proofErr w:type="gramEnd"/>
            <w:r w:rsidRPr="00DB60C4">
              <w:rPr>
                <w:rFonts w:ascii="標楷體" w:eastAsia="標楷體" w:hAnsi="標楷體" w:hint="eastAsia"/>
                <w:szCs w:val="24"/>
              </w:rPr>
              <w:t>餘分類收</w:t>
            </w:r>
            <w:r w:rsidR="00B609A1">
              <w:rPr>
                <w:rFonts w:ascii="標楷體" w:eastAsia="標楷體" w:hAnsi="標楷體" w:hint="eastAsia"/>
                <w:szCs w:val="24"/>
              </w:rPr>
              <w:t>集</w:t>
            </w:r>
            <w:r w:rsidRPr="00DB60C4">
              <w:rPr>
                <w:rFonts w:ascii="標楷體" w:eastAsia="標楷體" w:hAnsi="標楷體" w:hint="eastAsia"/>
                <w:szCs w:val="24"/>
              </w:rPr>
              <w:t>、清運等配合事項。</w:t>
            </w:r>
          </w:p>
        </w:tc>
      </w:tr>
    </w:tbl>
    <w:p w:rsidR="00B00F1D" w:rsidRPr="00DB60C4" w:rsidRDefault="00B00F1D"/>
    <w:sectPr w:rsidR="00B00F1D" w:rsidRPr="00DB60C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0C4"/>
    <w:rsid w:val="00077415"/>
    <w:rsid w:val="00777965"/>
    <w:rsid w:val="00897DB1"/>
    <w:rsid w:val="008F097E"/>
    <w:rsid w:val="00A073F4"/>
    <w:rsid w:val="00A302C2"/>
    <w:rsid w:val="00B00F1D"/>
    <w:rsid w:val="00B609A1"/>
    <w:rsid w:val="00DB60C4"/>
    <w:rsid w:val="00DD3865"/>
    <w:rsid w:val="00E512BB"/>
    <w:rsid w:val="00FA1C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54F82B-0FD8-4F7F-B9A7-5D0FECF9F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7415"/>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07741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62</Words>
  <Characters>357</Characters>
  <Application>Microsoft Office Word</Application>
  <DocSecurity>0</DocSecurity>
  <Lines>2</Lines>
  <Paragraphs>1</Paragraphs>
  <ScaleCrop>false</ScaleCrop>
  <Company/>
  <LinksUpToDate>false</LinksUpToDate>
  <CharactersWithSpaces>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韓若玉</dc:creator>
  <cp:keywords/>
  <dc:description/>
  <cp:lastModifiedBy>劉蕙菁</cp:lastModifiedBy>
  <cp:revision>2</cp:revision>
  <cp:lastPrinted>2017-09-01T00:56:00Z</cp:lastPrinted>
  <dcterms:created xsi:type="dcterms:W3CDTF">2017-10-03T02:48:00Z</dcterms:created>
  <dcterms:modified xsi:type="dcterms:W3CDTF">2017-10-03T02:48:00Z</dcterms:modified>
</cp:coreProperties>
</file>