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rPr>
          <w:rFonts w:ascii="Times New Roman" w:hAnsi="Times New Roman" w:eastAsia="標楷體" w:cs="Times New Roman"/>
          <w:sz w:val="40"/>
          <w:szCs w:val="40"/>
        </w:rPr>
      </w:pPr>
      <w:bookmarkStart w:id="0" w:name="__DdeLink__267_1342039903"/>
      <w:r>
        <w:rPr>
          <w:rFonts w:ascii="Times New Roman" w:hAnsi="Times New Roman" w:cs="Times New Roman" w:eastAsia="標楷體"/>
          <w:sz w:val="40"/>
          <w:szCs w:val="40"/>
        </w:rPr>
        <w:t>臺中市政府觀光旅遊局工程督導小組設置要點</w:t>
      </w:r>
    </w:p>
    <w:p>
      <w:pPr>
        <w:pStyle w:val="Normal"/>
        <w:jc w:val="right"/>
        <w:rPr>
          <w:rFonts w:eastAsia="標楷體"/>
          <w:color w:val="000000"/>
          <w:sz w:val="20"/>
          <w:szCs w:val="20"/>
        </w:rPr>
      </w:pPr>
      <w:r>
        <w:rPr>
          <w:rFonts w:eastAsia="標楷體"/>
          <w:color w:val="000000"/>
          <w:sz w:val="20"/>
          <w:szCs w:val="20"/>
        </w:rPr>
        <w:t>中華民國</w:t>
      </w:r>
      <w:r>
        <w:rPr>
          <w:rFonts w:eastAsia="標楷體"/>
          <w:color w:val="000000"/>
          <w:sz w:val="20"/>
          <w:szCs w:val="20"/>
        </w:rPr>
        <w:t>100</w:t>
      </w:r>
      <w:r>
        <w:rPr>
          <w:rFonts w:eastAsia="標楷體"/>
          <w:color w:val="000000"/>
          <w:sz w:val="20"/>
          <w:szCs w:val="20"/>
        </w:rPr>
        <w:t>年</w:t>
      </w:r>
      <w:r>
        <w:rPr>
          <w:rFonts w:eastAsia="標楷體"/>
          <w:color w:val="000000"/>
          <w:sz w:val="20"/>
          <w:szCs w:val="20"/>
        </w:rPr>
        <w:t>8</w:t>
      </w:r>
      <w:r>
        <w:rPr>
          <w:rFonts w:eastAsia="標楷體"/>
          <w:color w:val="000000"/>
          <w:sz w:val="20"/>
          <w:szCs w:val="20"/>
        </w:rPr>
        <w:t>月</w:t>
      </w:r>
      <w:r>
        <w:rPr>
          <w:rFonts w:eastAsia="標楷體"/>
          <w:color w:val="000000"/>
          <w:sz w:val="20"/>
          <w:szCs w:val="20"/>
        </w:rPr>
        <w:t>17</w:t>
      </w:r>
      <w:r>
        <w:rPr>
          <w:rFonts w:eastAsia="標楷體"/>
          <w:color w:val="000000"/>
          <w:sz w:val="20"/>
          <w:szCs w:val="20"/>
        </w:rPr>
        <w:t>日中市觀工字第</w:t>
      </w:r>
      <w:r>
        <w:rPr>
          <w:rFonts w:eastAsia="標楷體"/>
          <w:color w:val="000000"/>
          <w:sz w:val="20"/>
          <w:szCs w:val="20"/>
        </w:rPr>
        <w:t>1000007828</w:t>
      </w:r>
      <w:r>
        <w:rPr>
          <w:rFonts w:eastAsia="標楷體"/>
          <w:color w:val="000000"/>
          <w:sz w:val="20"/>
          <w:szCs w:val="20"/>
        </w:rPr>
        <w:t>號函訂定</w:t>
      </w:r>
    </w:p>
    <w:p>
      <w:pPr>
        <w:pStyle w:val="Normal"/>
        <w:jc w:val="right"/>
        <w:rPr>
          <w:rFonts w:eastAsia="標楷體"/>
          <w:color w:val="000000"/>
          <w:sz w:val="20"/>
          <w:szCs w:val="20"/>
        </w:rPr>
      </w:pPr>
      <w:r>
        <w:rPr>
          <w:rFonts w:eastAsia="標楷體"/>
          <w:color w:val="000000"/>
          <w:sz w:val="20"/>
          <w:szCs w:val="20"/>
        </w:rPr>
        <w:t>中華民國</w:t>
      </w:r>
      <w:r>
        <w:rPr>
          <w:rFonts w:eastAsia="標楷體"/>
          <w:color w:val="000000"/>
          <w:sz w:val="20"/>
          <w:szCs w:val="20"/>
        </w:rPr>
        <w:t>106</w:t>
      </w:r>
      <w:r>
        <w:rPr>
          <w:rFonts w:eastAsia="標楷體"/>
          <w:color w:val="000000"/>
          <w:sz w:val="20"/>
          <w:szCs w:val="20"/>
        </w:rPr>
        <w:t>年</w:t>
      </w:r>
      <w:r>
        <w:rPr>
          <w:rFonts w:eastAsia="標楷體"/>
          <w:color w:val="000000"/>
          <w:sz w:val="20"/>
          <w:szCs w:val="20"/>
        </w:rPr>
        <w:t>5</w:t>
      </w:r>
      <w:r>
        <w:rPr>
          <w:rFonts w:eastAsia="標楷體"/>
          <w:color w:val="000000"/>
          <w:sz w:val="20"/>
          <w:szCs w:val="20"/>
        </w:rPr>
        <w:t>月</w:t>
      </w:r>
      <w:r>
        <w:rPr>
          <w:rFonts w:eastAsia="標楷體"/>
          <w:color w:val="000000"/>
          <w:sz w:val="20"/>
          <w:szCs w:val="20"/>
        </w:rPr>
        <w:t>18</w:t>
      </w:r>
      <w:r>
        <w:rPr>
          <w:rFonts w:eastAsia="標楷體"/>
          <w:color w:val="000000"/>
          <w:sz w:val="20"/>
          <w:szCs w:val="20"/>
        </w:rPr>
        <w:t>日中市觀工字第</w:t>
      </w:r>
      <w:r>
        <w:rPr>
          <w:rFonts w:eastAsia="標楷體"/>
          <w:color w:val="000000"/>
          <w:sz w:val="20"/>
          <w:szCs w:val="20"/>
        </w:rPr>
        <w:t>1060007821</w:t>
      </w:r>
      <w:r>
        <w:rPr>
          <w:rFonts w:eastAsia="標楷體"/>
          <w:color w:val="000000"/>
          <w:sz w:val="20"/>
          <w:szCs w:val="20"/>
        </w:rPr>
        <w:t>號函修正</w:t>
      </w:r>
    </w:p>
    <w:p>
      <w:pPr>
        <w:pStyle w:val="1"/>
        <w:numPr>
          <w:ilvl w:val="0"/>
          <w:numId w:val="1"/>
        </w:numPr>
        <w:tabs>
          <w:tab w:val="left" w:pos="1065" w:leader="none"/>
          <w:tab w:val="center" w:pos="4153" w:leader="none"/>
        </w:tabs>
        <w:spacing w:lineRule="exact" w:line="460"/>
        <w:jc w:val="both"/>
        <w:rPr>
          <w:rFonts w:ascii="Times New Roman" w:hAnsi="Times New Roman" w:eastAsia="標楷體" w:cs="Times New Roman"/>
          <w:sz w:val="28"/>
          <w:szCs w:val="28"/>
        </w:rPr>
      </w:pPr>
      <w:r>
        <w:rPr>
          <w:rFonts w:eastAsia="標楷體" w:cs="Times New Roman" w:ascii="Times New Roman" w:hAnsi="Times New Roman"/>
          <w:sz w:val="28"/>
          <w:szCs w:val="28"/>
        </w:rPr>
        <w:tab/>
      </w:r>
      <w:r>
        <w:rPr>
          <w:rFonts w:ascii="Times New Roman" w:hAnsi="Times New Roman" w:cs="Times New Roman" w:eastAsia="標楷體"/>
          <w:sz w:val="28"/>
          <w:szCs w:val="28"/>
        </w:rPr>
        <w:t>臺中市政府觀光旅遊局（以下簡稱本局）依據行政院公共工程委員會公共工程施工品質管理作業要點第十五點規定設置「工程督導小組」（以下簡稱本小組），並為加強本局及所屬臺中市風景區管理所（以下簡稱風管所）公共工程建設之執行、督導及協調，以確保工程品質及施工安全，預防工程缺失，特訂定本要點。</w:t>
      </w:r>
    </w:p>
    <w:p>
      <w:pPr>
        <w:pStyle w:val="1"/>
        <w:numPr>
          <w:ilvl w:val="0"/>
          <w:numId w:val="1"/>
        </w:numPr>
        <w:tabs>
          <w:tab w:val="left" w:pos="0" w:leader="none"/>
          <w:tab w:val="center" w:pos="4153" w:leader="none"/>
        </w:tabs>
        <w:spacing w:lineRule="exact" w:line="460"/>
        <w:ind w:left="1133" w:right="0" w:hanging="1131"/>
        <w:jc w:val="both"/>
        <w:rPr>
          <w:rFonts w:ascii="Times New Roman" w:hAnsi="Times New Roman" w:eastAsia="標楷體" w:cs="Times New Roman"/>
          <w:sz w:val="28"/>
          <w:szCs w:val="28"/>
        </w:rPr>
      </w:pPr>
      <w:r>
        <w:rPr>
          <w:rFonts w:ascii="Times New Roman" w:hAnsi="Times New Roman" w:cs="Times New Roman" w:eastAsia="標楷體"/>
          <w:sz w:val="28"/>
          <w:szCs w:val="28"/>
        </w:rPr>
        <w:t>本小組之任務如下：</w:t>
      </w:r>
    </w:p>
    <w:p>
      <w:pPr>
        <w:pStyle w:val="1"/>
        <w:numPr>
          <w:ilvl w:val="0"/>
          <w:numId w:val="2"/>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辦理本局及風管所之工程督導及協調事項。</w:t>
      </w:r>
    </w:p>
    <w:p>
      <w:pPr>
        <w:pStyle w:val="1"/>
        <w:numPr>
          <w:ilvl w:val="0"/>
          <w:numId w:val="2"/>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工程品質管制之督導事項。</w:t>
      </w:r>
    </w:p>
    <w:p>
      <w:pPr>
        <w:pStyle w:val="1"/>
        <w:numPr>
          <w:ilvl w:val="0"/>
          <w:numId w:val="2"/>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督導監造單位依契約執行監造工作情形</w:t>
      </w:r>
      <w:r>
        <w:rPr>
          <w:rFonts w:eastAsia="標楷體" w:cs="Times New Roman" w:ascii="Times New Roman" w:hAnsi="Times New Roman"/>
          <w:sz w:val="28"/>
          <w:szCs w:val="28"/>
        </w:rPr>
        <w:t>(</w:t>
      </w:r>
      <w:r>
        <w:rPr>
          <w:rFonts w:ascii="Times New Roman" w:hAnsi="Times New Roman" w:cs="Times New Roman" w:eastAsia="標楷體"/>
          <w:sz w:val="28"/>
          <w:szCs w:val="28"/>
        </w:rPr>
        <w:t>含監造組織、監造計畫、施工及品質計畫之審查紀錄、材料設備抽驗及施工品質抽查紀錄、品質不符之處置及施工進度監督之執行情形</w:t>
      </w:r>
      <w:r>
        <w:rPr>
          <w:rFonts w:eastAsia="標楷體" w:cs="Times New Roman" w:ascii="Times New Roman" w:hAnsi="Times New Roman"/>
          <w:sz w:val="28"/>
          <w:szCs w:val="28"/>
        </w:rPr>
        <w:t>)</w:t>
      </w:r>
      <w:r>
        <w:rPr>
          <w:rFonts w:ascii="Times New Roman" w:hAnsi="Times New Roman" w:cs="Times New Roman" w:eastAsia="標楷體"/>
          <w:sz w:val="28"/>
          <w:szCs w:val="28"/>
        </w:rPr>
        <w:t>。</w:t>
      </w:r>
    </w:p>
    <w:p>
      <w:pPr>
        <w:pStyle w:val="1"/>
        <w:numPr>
          <w:ilvl w:val="0"/>
          <w:numId w:val="2"/>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承攬廠商之施工及品質計畫書送審、施工材料送審及檢驗、自主檢查表、不合格品之管制、施工進度管理、工地安全警示、交通維持、環境衛生設施、勞工安全衛生等完善情形</w:t>
      </w:r>
    </w:p>
    <w:p>
      <w:pPr>
        <w:pStyle w:val="1"/>
        <w:numPr>
          <w:ilvl w:val="0"/>
          <w:numId w:val="2"/>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協助承辦單位協調施工廠商、相關單位排除施工爭議與困難，以利工程順利進行。</w:t>
      </w:r>
    </w:p>
    <w:p>
      <w:pPr>
        <w:pStyle w:val="1"/>
        <w:numPr>
          <w:ilvl w:val="0"/>
          <w:numId w:val="1"/>
        </w:numPr>
        <w:tabs>
          <w:tab w:val="left" w:pos="0" w:leader="none"/>
          <w:tab w:val="center" w:pos="4153" w:leader="none"/>
        </w:tabs>
        <w:spacing w:lineRule="exact" w:line="460"/>
        <w:ind w:left="1133" w:right="0" w:hanging="1131"/>
        <w:jc w:val="both"/>
        <w:rPr>
          <w:rFonts w:ascii="Times New Roman" w:hAnsi="Times New Roman" w:eastAsia="標楷體" w:cs="Times New Roman"/>
          <w:sz w:val="28"/>
          <w:szCs w:val="28"/>
        </w:rPr>
      </w:pPr>
      <w:r>
        <w:rPr>
          <w:rFonts w:ascii="Times New Roman" w:hAnsi="Times New Roman" w:cs="Times New Roman" w:eastAsia="標楷體"/>
          <w:sz w:val="28"/>
          <w:szCs w:val="28"/>
        </w:rPr>
        <w:t>工程督導時機與頻率：</w:t>
      </w:r>
    </w:p>
    <w:p>
      <w:pPr>
        <w:pStyle w:val="1"/>
        <w:numPr>
          <w:ilvl w:val="0"/>
          <w:numId w:val="3"/>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由召集人召集委員二至三人排定行程後，並得採預先或不預先通知逕往督導。</w:t>
      </w:r>
    </w:p>
    <w:p>
      <w:pPr>
        <w:pStyle w:val="1"/>
        <w:numPr>
          <w:ilvl w:val="0"/>
          <w:numId w:val="3"/>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每件標案工程於工程開工後至完工前，至少抽查一至二次。本小組得視需要增加抽查次數。</w:t>
      </w:r>
    </w:p>
    <w:p>
      <w:pPr>
        <w:pStyle w:val="1"/>
        <w:numPr>
          <w:ilvl w:val="0"/>
          <w:numId w:val="3"/>
        </w:numPr>
        <w:tabs>
          <w:tab w:val="left" w:pos="1134" w:leader="none"/>
          <w:tab w:val="center" w:pos="4153" w:leader="none"/>
        </w:tabs>
        <w:spacing w:lineRule="exact" w:line="460"/>
        <w:ind w:left="1134" w:right="0" w:hanging="567"/>
        <w:jc w:val="both"/>
        <w:rPr>
          <w:rFonts w:ascii="Times New Roman" w:hAnsi="Times New Roman" w:eastAsia="標楷體" w:cs="Times New Roman"/>
          <w:sz w:val="28"/>
          <w:szCs w:val="28"/>
        </w:rPr>
      </w:pPr>
      <w:r>
        <w:rPr>
          <w:rFonts w:ascii="Times New Roman" w:hAnsi="Times New Roman" w:cs="Times New Roman" w:eastAsia="標楷體"/>
          <w:sz w:val="28"/>
          <w:szCs w:val="28"/>
        </w:rPr>
        <w:t>施工進度嚴重落後或施工品質不佳、民眾檢舉、工程爭議糾紛不斷之個案工程，列為優先及密集督導抽查案件。</w:t>
      </w:r>
    </w:p>
    <w:p>
      <w:pPr>
        <w:pStyle w:val="1"/>
        <w:numPr>
          <w:ilvl w:val="0"/>
          <w:numId w:val="1"/>
        </w:numPr>
        <w:tabs>
          <w:tab w:val="left" w:pos="0" w:leader="none"/>
          <w:tab w:val="center" w:pos="4153" w:leader="none"/>
        </w:tabs>
        <w:spacing w:lineRule="exact" w:line="460"/>
        <w:ind w:left="563" w:right="0" w:hanging="563"/>
        <w:jc w:val="both"/>
        <w:rPr>
          <w:rFonts w:ascii="Times New Roman" w:hAnsi="Times New Roman" w:eastAsia="標楷體" w:cs="Times New Roman"/>
          <w:sz w:val="28"/>
          <w:szCs w:val="28"/>
        </w:rPr>
      </w:pPr>
      <w:r>
        <w:rPr>
          <w:rFonts w:ascii="Times New Roman" w:hAnsi="Times New Roman" w:cs="Times New Roman" w:eastAsia="標楷體"/>
          <w:sz w:val="28"/>
          <w:szCs w:val="28"/>
        </w:rPr>
        <w:t>本要點所稱工程係指本局及風管所辦理之各類工程（十萬元以下及緊急搶修工程除外）。</w:t>
      </w:r>
    </w:p>
    <w:p>
      <w:pPr>
        <w:pStyle w:val="1"/>
        <w:numPr>
          <w:ilvl w:val="0"/>
          <w:numId w:val="1"/>
        </w:numPr>
        <w:tabs>
          <w:tab w:val="left" w:pos="0" w:leader="none"/>
          <w:tab w:val="center" w:pos="4153" w:leader="none"/>
        </w:tabs>
        <w:spacing w:lineRule="exact" w:line="460"/>
        <w:ind w:left="563" w:right="0" w:hanging="563"/>
        <w:jc w:val="both"/>
        <w:rPr>
          <w:rFonts w:ascii="Times New Roman" w:hAnsi="Times New Roman" w:eastAsia="標楷體" w:cs="Times New Roman"/>
          <w:sz w:val="28"/>
          <w:szCs w:val="28"/>
        </w:rPr>
      </w:pPr>
      <w:r>
        <w:rPr>
          <w:rFonts w:ascii="Times New Roman" w:hAnsi="Times New Roman" w:cs="Times New Roman" w:eastAsia="標楷體"/>
          <w:sz w:val="28"/>
          <w:szCs w:val="28"/>
        </w:rPr>
        <w:t>本小組置召集人一人，由局長指定副局長或主任秘書一人兼任之。</w:t>
      </w:r>
    </w:p>
    <w:p>
      <w:pPr>
        <w:pStyle w:val="1"/>
        <w:tabs>
          <w:tab w:val="left" w:pos="0" w:leader="none"/>
          <w:tab w:val="center" w:pos="4153" w:leader="none"/>
        </w:tabs>
        <w:spacing w:lineRule="exact" w:line="460"/>
        <w:ind w:left="563" w:right="0" w:hanging="0"/>
        <w:jc w:val="both"/>
        <w:rPr>
          <w:rFonts w:ascii="Times New Roman" w:hAnsi="Times New Roman" w:eastAsia="標楷體" w:cs="Times New Roman"/>
          <w:sz w:val="28"/>
          <w:szCs w:val="28"/>
        </w:rPr>
      </w:pPr>
      <w:r>
        <w:rPr>
          <w:rFonts w:ascii="Times New Roman" w:hAnsi="Times New Roman" w:cs="Times New Roman" w:eastAsia="標楷體"/>
          <w:sz w:val="28"/>
          <w:szCs w:val="28"/>
        </w:rPr>
        <w:t>本小組置委員如下，除召集人為當然委員外，由本局會計室主任、政風室主任、觀光工程科科長、技正、股長、風管所所長、管理課課長及學者專家（屬複雜案件）等兼任之。</w:t>
      </w:r>
    </w:p>
    <w:p>
      <w:pPr>
        <w:pStyle w:val="1"/>
        <w:numPr>
          <w:ilvl w:val="0"/>
          <w:numId w:val="1"/>
        </w:numPr>
        <w:tabs>
          <w:tab w:val="left" w:pos="0" w:leader="none"/>
          <w:tab w:val="center" w:pos="4153" w:leader="none"/>
        </w:tabs>
        <w:spacing w:lineRule="exact" w:line="460"/>
        <w:ind w:left="563" w:right="0" w:hanging="563"/>
        <w:jc w:val="both"/>
        <w:rPr>
          <w:rFonts w:ascii="Times New Roman" w:hAnsi="Times New Roman" w:eastAsia="標楷體" w:cs="Times New Roman"/>
          <w:sz w:val="28"/>
          <w:szCs w:val="28"/>
        </w:rPr>
      </w:pPr>
      <w:r>
        <w:rPr>
          <w:rFonts w:ascii="Times New Roman" w:hAnsi="Times New Roman" w:cs="Times New Roman" w:eastAsia="標楷體"/>
          <w:sz w:val="28"/>
          <w:szCs w:val="28"/>
        </w:rPr>
        <w:t>督導小組辦理工程督導時，各主辦單位、監造單位之建築師或技師及施工廠商之專任工程人員應備妥設計圖說、施工</w:t>
      </w:r>
      <w:r>
        <w:rPr>
          <w:rFonts w:eastAsia="標楷體" w:cs="Times New Roman" w:ascii="Times New Roman" w:hAnsi="Times New Roman"/>
          <w:sz w:val="28"/>
          <w:szCs w:val="28"/>
        </w:rPr>
        <w:t>(</w:t>
      </w:r>
      <w:r>
        <w:rPr>
          <w:rFonts w:ascii="Times New Roman" w:hAnsi="Times New Roman" w:cs="Times New Roman" w:eastAsia="標楷體"/>
          <w:sz w:val="28"/>
          <w:szCs w:val="28"/>
        </w:rPr>
        <w:t>監造</w:t>
      </w:r>
      <w:r>
        <w:rPr>
          <w:rFonts w:eastAsia="標楷體" w:cs="Times New Roman" w:ascii="Times New Roman" w:hAnsi="Times New Roman"/>
          <w:sz w:val="28"/>
          <w:szCs w:val="28"/>
        </w:rPr>
        <w:t>)</w:t>
      </w:r>
      <w:r>
        <w:rPr>
          <w:rFonts w:ascii="Times New Roman" w:hAnsi="Times New Roman" w:cs="Times New Roman" w:eastAsia="標楷體"/>
          <w:sz w:val="28"/>
          <w:szCs w:val="28"/>
        </w:rPr>
        <w:t>日誌、契約書、自主檢查表等文件配合到場說明，必要時得通知廠商備妥相關檢驗機具。</w:t>
      </w:r>
    </w:p>
    <w:p>
      <w:pPr>
        <w:pStyle w:val="1"/>
        <w:tabs>
          <w:tab w:val="left" w:pos="0" w:leader="none"/>
          <w:tab w:val="center" w:pos="4153" w:leader="none"/>
        </w:tabs>
        <w:spacing w:lineRule="exact" w:line="460"/>
        <w:ind w:left="563" w:right="0" w:hanging="0"/>
        <w:jc w:val="both"/>
        <w:rPr>
          <w:rFonts w:ascii="Times New Roman" w:hAnsi="Times New Roman" w:eastAsia="標楷體" w:cs="Times New Roman"/>
          <w:sz w:val="28"/>
          <w:szCs w:val="28"/>
        </w:rPr>
      </w:pPr>
      <w:r>
        <w:rPr>
          <w:rFonts w:ascii="Times New Roman" w:hAnsi="Times New Roman" w:cs="Times New Roman" w:eastAsia="標楷體"/>
          <w:sz w:val="28"/>
          <w:szCs w:val="28"/>
        </w:rPr>
        <w:t>前項督導小組針對督導所提出應改善事項通知主辦單位、監造單位及承攬廠商限期改善，並於規定期限內將改善結果，併同改善前、中、後之照片送本小組備查。</w:t>
      </w:r>
    </w:p>
    <w:p>
      <w:pPr>
        <w:pStyle w:val="1"/>
        <w:tabs>
          <w:tab w:val="left" w:pos="0" w:leader="none"/>
          <w:tab w:val="center" w:pos="4153" w:leader="none"/>
        </w:tabs>
        <w:spacing w:lineRule="exact" w:line="460"/>
        <w:ind w:left="563" w:right="0" w:hanging="0"/>
        <w:jc w:val="both"/>
        <w:rPr>
          <w:rFonts w:ascii="Times New Roman" w:hAnsi="Times New Roman" w:eastAsia="標楷體" w:cs="Times New Roman"/>
          <w:sz w:val="28"/>
          <w:szCs w:val="28"/>
        </w:rPr>
      </w:pPr>
      <w:bookmarkStart w:id="1" w:name="__DdeLink__267_1342039903"/>
      <w:bookmarkEnd w:id="1"/>
      <w:r>
        <w:rPr>
          <w:rFonts w:ascii="Times New Roman" w:hAnsi="Times New Roman" w:cs="Times New Roman" w:eastAsia="標楷體"/>
          <w:sz w:val="28"/>
          <w:szCs w:val="28"/>
        </w:rPr>
        <w:t>督導小組所需之經費，由各受督導工程之工程管理費支應。</w:t>
      </w:r>
    </w:p>
    <w:sectPr>
      <w:footerReference w:type="default" r:id="rId2"/>
      <w:type w:val="nextPage"/>
      <w:pgSz w:w="11906" w:h="16838"/>
      <w:pgMar w:left="1701" w:right="1418" w:header="0" w:top="1418" w:footer="992" w:bottom="1418" w:gutter="0"/>
      <w:pgNumType w:start="1" w:fmt="decimal"/>
      <w:formProt w:val="false"/>
      <w:textDirection w:val="lrTb"/>
      <w:docGrid w:type="lines"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roman"/>
    <w:pitch w:val="variable"/>
  </w:font>
  <w:font w:name="Courier New">
    <w:charset w:val="88"/>
    <w:family w:val="roman"/>
    <w:pitch w:val="variable"/>
  </w:font>
  <w:font w:name="sөũ">
    <w:charset w:val="88"/>
    <w:family w:val="roman"/>
    <w:pitch w:val="variable"/>
  </w:font>
  <w:font w:name="Cambria">
    <w:charset w:val="88"/>
    <w:family w:val="roman"/>
    <w:pitch w:val="variable"/>
  </w:font>
  <w:font w:name="Liberation Sans">
    <w:altName w:val="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rPr/>
    </w:pPr>
    <w:r>
      <w:rPr/>
    </w:r>
    <w:r>
      <mc:AlternateContent>
        <mc:Choice Requires="wps">
          <w:drawing>
            <wp:anchor behindDoc="0" distT="0" distB="0" distL="0" distR="0" simplePos="0" locked="0" layoutInCell="1" allowOverlap="1" relativeHeight="4">
              <wp:simplePos x="0" y="0"/>
              <wp:positionH relativeFrom="margin">
                <wp:align>center</wp:align>
              </wp:positionH>
              <wp:positionV relativeFrom="paragraph">
                <wp:posOffset>635</wp:posOffset>
              </wp:positionV>
              <wp:extent cx="64770" cy="154940"/>
              <wp:effectExtent l="0" t="0" r="0" b="0"/>
              <wp:wrapSquare wrapText="largest"/>
              <wp:docPr id="1" name="框架1"/>
              <a:graphic xmlns:a="http://schemas.openxmlformats.org/drawingml/2006/main">
                <a:graphicData uri="http://schemas.microsoft.com/office/word/2010/wordprocessingShape">
                  <wps:wsp>
                    <wps:cNvSpPr txBox="1"/>
                    <wps:spPr>
                      <a:xfrm>
                        <a:off x="0" y="0"/>
                        <a:ext cx="64770" cy="154940"/>
                      </a:xfrm>
                      <a:prstGeom prst="rect"/>
                      <a:solidFill>
                        <a:srgbClr val="FFFFFF">
                          <a:alpha val="0"/>
                        </a:srgbClr>
                      </a:solidFill>
                    </wps:spPr>
                    <wps:txbx>
                      <w:txbxContent>
                        <w:p>
                          <w:pPr>
                            <w:pStyle w:val="Style23"/>
                            <w:pBdr/>
                            <w:rPr/>
                          </w:pPr>
                          <w:r>
                            <w:rPr>
                              <w:rStyle w:val="Pagenumber"/>
                            </w:rPr>
                            <w:fldChar w:fldCharType="begin"/>
                          </w:r>
                          <w:r>
                            <w:instrText> PAGE </w:instrText>
                          </w:r>
                          <w:r>
                            <w:fldChar w:fldCharType="separate"/>
                          </w:r>
                          <w:r>
                            <w:t>3</w:t>
                          </w:r>
                          <w:r>
                            <w:fldChar w:fldCharType="end"/>
                          </w:r>
                        </w:p>
                      </w:txbxContent>
                    </wps:txbx>
                    <wps:bodyPr anchor="t" lIns="0" tIns="0" rIns="0" bIns="0">
                      <a:noAutofit/>
                    </wps:bodyPr>
                  </wps:wsp>
                </a:graphicData>
              </a:graphic>
            </wp:anchor>
          </w:drawing>
        </mc:Choice>
        <mc:Fallback>
          <w:pict>
            <v:rect fillcolor="#FFFFFF" style="position:absolute;rotation:0;width:5.1pt;height:12.2pt;mso-wrap-distance-left:0pt;mso-wrap-distance-right:0pt;mso-wrap-distance-top:0pt;mso-wrap-distance-bottom:0pt;margin-top:0.05pt;mso-position-vertical-relative:text;margin-left:217.1pt;mso-position-horizontal:center;mso-position-horizontal-relative:margin">
              <v:fill opacity="0f"/>
              <v:textbox inset="0in,0in,0in,0in">
                <w:txbxContent>
                  <w:p>
                    <w:pPr>
                      <w:pStyle w:val="Style23"/>
                      <w:pBdr/>
                      <w:rPr/>
                    </w:pPr>
                    <w:r>
                      <w:rPr>
                        <w:rStyle w:val="Pagenumber"/>
                      </w:rPr>
                      <w:fldChar w:fldCharType="begin"/>
                    </w:r>
                    <w:r>
                      <w:instrText> PAGE </w:instrText>
                    </w:r>
                    <w:r>
                      <w:fldChar w:fldCharType="separate"/>
                    </w:r>
                    <w:r>
                      <w:t>3</w:t>
                    </w:r>
                    <w: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suff w:val="nothing"/>
      <w:lvlText w:val="%1、"/>
      <w:lvlJc w:val="left"/>
      <w:pPr>
        <w:ind w:left="567" w:hanging="567"/>
      </w:pPr>
      <w:rPr>
        <w:sz w:val="28"/>
      </w:rPr>
    </w:lvl>
    <w:lvl w:ilvl="1">
      <w:start w:val="1"/>
      <w:numFmt w:val="ideographTradition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ideographTradition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ideographTraditional"/>
      <w:lvlText w:val="%8、"/>
      <w:lvlJc w:val="left"/>
      <w:pPr>
        <w:ind w:left="3840" w:hanging="480"/>
      </w:pPr>
      <w:rPr/>
    </w:lvl>
    <w:lvl w:ilvl="8">
      <w:start w:val="1"/>
      <w:numFmt w:val="lowerRoman"/>
      <w:lvlText w:val="%9."/>
      <w:lvlJc w:val="right"/>
      <w:pPr>
        <w:ind w:left="4320" w:hanging="480"/>
      </w:pPr>
      <w:rPr/>
    </w:lvl>
  </w:abstractNum>
  <w:abstractNum w:abstractNumId="2">
    <w:lvl w:ilvl="0">
      <w:start w:val="1"/>
      <w:numFmt w:val="taiwaneseCountingThousand"/>
      <w:lvlText w:val="(%1)"/>
      <w:lvlJc w:val="left"/>
      <w:pPr>
        <w:ind w:left="567" w:hanging="567"/>
      </w:pPr>
      <w:rPr>
        <w:sz w:val="28"/>
      </w:rPr>
    </w:lvl>
    <w:lvl w:ilvl="1">
      <w:start w:val="1"/>
      <w:numFmt w:val="ideographTradition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ideographTradition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ideographTraditional"/>
      <w:lvlText w:val="%8、"/>
      <w:lvlJc w:val="left"/>
      <w:pPr>
        <w:ind w:left="3840" w:hanging="480"/>
      </w:pPr>
      <w:rPr/>
    </w:lvl>
    <w:lvl w:ilvl="8">
      <w:start w:val="1"/>
      <w:numFmt w:val="lowerRoman"/>
      <w:lvlText w:val="%9."/>
      <w:lvlJc w:val="right"/>
      <w:pPr>
        <w:ind w:left="4320" w:hanging="480"/>
      </w:pPr>
      <w:rPr/>
    </w:lvl>
  </w:abstractNum>
  <w:abstractNum w:abstractNumId="3">
    <w:lvl w:ilvl="0">
      <w:start w:val="1"/>
      <w:numFmt w:val="taiwaneseCountingThousand"/>
      <w:lvlText w:val="(%1)"/>
      <w:lvlJc w:val="left"/>
      <w:pPr>
        <w:ind w:left="567" w:hanging="567"/>
      </w:pPr>
      <w:rPr>
        <w:sz w:val="28"/>
      </w:rPr>
    </w:lvl>
    <w:lvl w:ilvl="1">
      <w:start w:val="1"/>
      <w:numFmt w:val="ideographTradition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ideographTradition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ideographTraditional"/>
      <w:lvlText w:val="%8、"/>
      <w:lvlJc w:val="left"/>
      <w:pPr>
        <w:ind w:left="3840" w:hanging="480"/>
      </w:pPr>
      <w:rPr/>
    </w:lvl>
    <w:lvl w:ilvl="8">
      <w:start w:val="1"/>
      <w:numFmt w:val="lowerRoman"/>
      <w:lvlText w:val="%9."/>
      <w:lvlJc w:val="right"/>
      <w:pPr>
        <w:ind w:left="4320" w:hanging="480"/>
      </w:pPr>
      <w:rPr/>
    </w:lvl>
  </w:abstractNum>
  <w:abstractNum w:abstractNumId="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0"/>
  <w:defaultTabStop w:val="5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pPrDefault>
  </w:docDefaults>
  <w:style w:type="paragraph" w:styleId="Normal">
    <w:name w:val="Normal"/>
    <w:qFormat/>
    <w:pPr>
      <w:widowControl w:val="false"/>
      <w:suppressAutoHyphens w:val="true"/>
      <w:kinsoku w:val="true"/>
      <w:overflowPunct w:val="true"/>
      <w:autoSpaceDE w:val="true"/>
      <w:bidi w:val="0"/>
      <w:jc w:val="left"/>
    </w:pPr>
    <w:rPr>
      <w:rFonts w:ascii="Calibri" w:hAnsi="Calibri" w:cs="Calibri" w:eastAsia="新細明體"/>
      <w:color w:val="auto"/>
      <w:sz w:val="24"/>
      <w:szCs w:val="24"/>
      <w:lang w:val="en-US" w:eastAsia="zh-TW" w:bidi="ar-SA"/>
    </w:rPr>
  </w:style>
  <w:style w:type="character" w:styleId="DefaultParagraphFont">
    <w:name w:val="Default Paragraph Font"/>
    <w:qFormat/>
    <w:rPr/>
  </w:style>
  <w:style w:type="character" w:styleId="Style14">
    <w:name w:val="頁首 字元"/>
    <w:basedOn w:val="DefaultParagraphFont"/>
    <w:qFormat/>
    <w:rPr>
      <w:rFonts w:ascii="Calibri" w:hAnsi="Calibri" w:cs="Calibri"/>
    </w:rPr>
  </w:style>
  <w:style w:type="character" w:styleId="Style15">
    <w:name w:val="頁尾 字元"/>
    <w:basedOn w:val="DefaultParagraphFont"/>
    <w:qFormat/>
    <w:rPr>
      <w:rFonts w:ascii="Calibri" w:hAnsi="Calibri" w:cs="Calibri"/>
    </w:rPr>
  </w:style>
  <w:style w:type="character" w:styleId="Pagenumber">
    <w:name w:val="page number"/>
    <w:basedOn w:val="DefaultParagraphFont"/>
    <w:qFormat/>
    <w:rPr/>
  </w:style>
  <w:style w:type="character" w:styleId="Linenumber">
    <w:name w:val="line number"/>
    <w:basedOn w:val="DefaultParagraphFont"/>
    <w:qFormat/>
    <w:rPr/>
  </w:style>
  <w:style w:type="character" w:styleId="HTML">
    <w:name w:val="HTML 預設格式 字元"/>
    <w:basedOn w:val="DefaultParagraphFont"/>
    <w:qFormat/>
    <w:rPr>
      <w:rFonts w:ascii="Courier New" w:hAnsi="Courier New" w:eastAsia="新細明體" w:cs="Courier New"/>
      <w:lang w:val="en-US" w:eastAsia="zh-TW" w:bidi="ar-SA"/>
    </w:rPr>
  </w:style>
  <w:style w:type="character" w:styleId="Dialogtext1">
    <w:name w:val="dialog_text1"/>
    <w:basedOn w:val="DefaultParagraphFont"/>
    <w:qFormat/>
    <w:rPr>
      <w:rFonts w:ascii="sөũ" w:hAnsi="sөũ"/>
      <w:color w:val="000000"/>
      <w:sz w:val="16"/>
      <w:szCs w:val="16"/>
    </w:rPr>
  </w:style>
  <w:style w:type="character" w:styleId="Style16">
    <w:name w:val="註解方塊文字 字元"/>
    <w:basedOn w:val="DefaultParagraphFont"/>
    <w:qFormat/>
    <w:rPr>
      <w:rFonts w:ascii="Cambria" w:hAnsi="Cambria" w:eastAsia="新細明體" w:cs="Times New Roman"/>
      <w:sz w:val="18"/>
      <w:szCs w:val="18"/>
    </w:rPr>
  </w:style>
  <w:style w:type="character" w:styleId="Class28">
    <w:name w:val="class28"/>
    <w:basedOn w:val="DefaultParagraphFont"/>
    <w:qFormat/>
    <w:rPr/>
  </w:style>
  <w:style w:type="character" w:styleId="ListLabel1">
    <w:name w:val="ListLabel 1"/>
    <w:qFormat/>
    <w:rPr>
      <w:rFonts w:ascii="Times New Roman" w:hAnsi="Times New Roman" w:cs="Times New Roman"/>
      <w:sz w:val="28"/>
      <w:szCs w:val="28"/>
    </w:rPr>
  </w:style>
  <w:style w:type="character" w:styleId="ListLabel2">
    <w:name w:val="ListLabel 2"/>
    <w:qFormat/>
    <w:rPr>
      <w:rFonts w:cs="Times New Roman"/>
    </w:rPr>
  </w:style>
  <w:style w:type="character" w:styleId="ListLabel3">
    <w:name w:val="ListLabel 3"/>
    <w:qFormat/>
    <w:rPr>
      <w:rFonts w:ascii="Times New Roman" w:hAnsi="Times New Roman" w:cs="Times New Roman"/>
      <w:sz w:val="28"/>
      <w:lang w:val="en-US"/>
    </w:rPr>
  </w:style>
  <w:style w:type="character" w:styleId="ListLabel4">
    <w:name w:val="ListLabel 4"/>
    <w:qFormat/>
    <w:rPr>
      <w:rFonts w:ascii="Times New Roman" w:hAnsi="Times New Roman"/>
      <w:sz w:val="28"/>
      <w:lang w:val="en-US"/>
    </w:rPr>
  </w:style>
  <w:style w:type="character" w:styleId="ListLabel5">
    <w:name w:val="ListLabel 5"/>
    <w:qFormat/>
    <w:rPr>
      <w:rFonts w:ascii="Times New Roman" w:hAnsi="Times New Roman"/>
      <w:u w:val="none"/>
    </w:rPr>
  </w:style>
  <w:style w:type="paragraph" w:styleId="Style17">
    <w:name w:val="標題"/>
    <w:basedOn w:val="Normal"/>
    <w:next w:val="Style18"/>
    <w:qFormat/>
    <w:pPr>
      <w:keepNext/>
      <w:spacing w:before="240" w:after="120"/>
    </w:pPr>
    <w:rPr>
      <w:rFonts w:ascii="Liberation Sans" w:hAnsi="Liberation Sans" w:eastAsia="微軟正黑體" w:cs="Mangal"/>
      <w:sz w:val="28"/>
      <w:szCs w:val="28"/>
    </w:rPr>
  </w:style>
  <w:style w:type="paragraph" w:styleId="Style18">
    <w:name w:val="內文"/>
    <w:basedOn w:val="Normal"/>
    <w:pPr>
      <w:spacing w:lineRule="auto" w:line="288" w:before="0" w:after="140"/>
    </w:pPr>
    <w:rPr/>
  </w:style>
  <w:style w:type="paragraph" w:styleId="Style19">
    <w:name w:val="清單"/>
    <w:basedOn w:val="Style18"/>
    <w:pPr/>
    <w:rPr>
      <w:rFonts w:cs="Mangal"/>
    </w:rPr>
  </w:style>
  <w:style w:type="paragraph" w:styleId="Style20">
    <w:name w:val="圖表標示"/>
    <w:basedOn w:val="Normal"/>
    <w:pPr>
      <w:suppressLineNumbers/>
      <w:spacing w:before="120" w:after="120"/>
    </w:pPr>
    <w:rPr>
      <w:rFonts w:cs="Mangal"/>
      <w:i/>
      <w:iCs/>
      <w:sz w:val="24"/>
      <w:szCs w:val="24"/>
    </w:rPr>
  </w:style>
  <w:style w:type="paragraph" w:styleId="Style21">
    <w:name w:val="索引"/>
    <w:basedOn w:val="Normal"/>
    <w:qFormat/>
    <w:pPr>
      <w:suppressLineNumbers/>
    </w:pPr>
    <w:rPr>
      <w:rFonts w:cs="Mangal"/>
    </w:rPr>
  </w:style>
  <w:style w:type="paragraph" w:styleId="1">
    <w:name w:val="清單段落1"/>
    <w:basedOn w:val="Normal"/>
    <w:qFormat/>
    <w:pPr>
      <w:ind w:left="480" w:right="0" w:hanging="0"/>
    </w:pPr>
    <w:rPr/>
  </w:style>
  <w:style w:type="paragraph" w:styleId="Style22">
    <w:name w:val="頁首"/>
    <w:basedOn w:val="Normal"/>
    <w:pPr>
      <w:tabs>
        <w:tab w:val="center" w:pos="4153" w:leader="none"/>
        <w:tab w:val="right" w:pos="8306" w:leader="none"/>
      </w:tabs>
      <w:snapToGrid w:val="false"/>
    </w:pPr>
    <w:rPr>
      <w:sz w:val="20"/>
      <w:szCs w:val="20"/>
    </w:rPr>
  </w:style>
  <w:style w:type="paragraph" w:styleId="Style23">
    <w:name w:val="頁尾"/>
    <w:basedOn w:val="Normal"/>
    <w:pPr>
      <w:tabs>
        <w:tab w:val="center" w:pos="4153" w:leader="none"/>
        <w:tab w:val="right" w:pos="8306" w:leader="none"/>
      </w:tabs>
      <w:snapToGrid w:val="false"/>
    </w:pPr>
    <w:rPr>
      <w:sz w:val="20"/>
      <w:szCs w:val="20"/>
    </w:rPr>
  </w:style>
  <w:style w:type="paragraph" w:styleId="ListParagraph">
    <w:name w:val="List Paragraph"/>
    <w:basedOn w:val="Normal"/>
    <w:qFormat/>
    <w:pPr>
      <w:ind w:left="480" w:right="0" w:hanging="0"/>
    </w:pPr>
    <w:rPr/>
  </w:style>
  <w:style w:type="paragraph" w:styleId="HTMLPreformatted">
    <w:name w:val="HTML Preformatted"/>
    <w:basedOn w:val="Normal"/>
    <w:qFormat/>
    <w:pPr/>
    <w:rPr>
      <w:rFonts w:ascii="Courier New" w:hAnsi="Courier New" w:cs="Courier New"/>
      <w:sz w:val="20"/>
      <w:szCs w:val="20"/>
    </w:rPr>
  </w:style>
  <w:style w:type="paragraph" w:styleId="BalloonText">
    <w:name w:val="Balloon Text"/>
    <w:basedOn w:val="Normal"/>
    <w:qFormat/>
    <w:pPr/>
    <w:rPr>
      <w:rFonts w:ascii="Cambria" w:hAnsi="Cambria" w:eastAsia="新細明體" w:cs="Times New Roman"/>
      <w:sz w:val="18"/>
      <w:szCs w:val="18"/>
    </w:rPr>
  </w:style>
  <w:style w:type="paragraph" w:styleId="Style24">
    <w:name w:val="框架內容"/>
    <w:basedOn w:val="Normal"/>
    <w:qFormat/>
    <w:pPr/>
    <w:rPr/>
  </w:style>
  <w:style w:type="paragraph" w:styleId="Style25">
    <w:name w:val="表格內容"/>
    <w:basedOn w:val="Normal"/>
    <w:qFormat/>
    <w:pPr/>
    <w:rPr/>
  </w:style>
  <w:style w:type="numbering" w:styleId="NoList">
    <w:name w:val="No Lis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243</TotalTime>
  <Application>LibreOffice/4.4.3.2$Windows_x86 LibreOffice_project/88805f81e9fe61362df02b9941de8e38a9b5fd16</Application>
  <Paragraphs>21</Paragraphs>
  <Company>FDZone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2016-06-24T05:52:00Z</dcterms:created>
  <dc:creator>taichung</dc:creator>
  <dc:language>zh-TW</dc:language>
  <cp:lastPrinted>2017-05-17T01:50:00Z</cp:lastPrinted>
  <dcterms:modified xsi:type="dcterms:W3CDTF">2017-05-22T08:38:45Z</dcterms:modified>
  <cp:revision>40</cp:revision>
  <dc:title>臺中市交通影響評估審查作業要點草案總說明</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FDZone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