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rPr/>
      </w:pPr>
      <w:bookmarkStart w:id="0" w:name="__DdeLink__157_234923110"/>
      <w:r>
        <w:rPr>
          <w:rFonts w:ascii="標楷體" w:hAnsi="標楷體" w:cs="標楷體" w:eastAsia="標楷體"/>
          <w:color w:val="000000"/>
          <w:sz w:val="40"/>
          <w:szCs w:val="40"/>
        </w:rPr>
        <w:t>臺中市高級中等以下學校優良特殊教育人員遴選要點</w:t>
      </w:r>
    </w:p>
    <w:p>
      <w:pPr>
        <w:pStyle w:val="Normal"/>
        <w:spacing w:lineRule="auto"/>
        <w:jc w:val="right"/>
        <w:rPr>
          <w:rFonts w:ascii="標楷體" w:hAnsi="標楷體" w:eastAsia="標楷體" w:cs="標楷體"/>
          <w:bCs/>
          <w:color w:val="000000"/>
          <w:sz w:val="20"/>
        </w:rPr>
      </w:pPr>
      <w:r>
        <w:rPr>
          <w:rFonts w:ascii="標楷體" w:hAnsi="標楷體" w:cs="標楷體" w:eastAsia="標楷體"/>
          <w:bCs/>
          <w:color w:val="000000"/>
          <w:sz w:val="20"/>
        </w:rPr>
        <w:t>中華民國</w:t>
      </w:r>
      <w:r>
        <w:rPr>
          <w:rFonts w:eastAsia="標楷體" w:cs="標楷體" w:ascii="標楷體" w:hAnsi="標楷體"/>
          <w:bCs/>
          <w:color w:val="000000"/>
          <w:sz w:val="20"/>
        </w:rPr>
        <w:t>100</w:t>
      </w:r>
      <w:r>
        <w:rPr>
          <w:rFonts w:ascii="標楷體" w:hAnsi="標楷體" w:cs="標楷體" w:eastAsia="標楷體"/>
          <w:bCs/>
          <w:color w:val="000000"/>
          <w:sz w:val="20"/>
        </w:rPr>
        <w:t>年</w:t>
      </w:r>
      <w:r>
        <w:rPr>
          <w:rFonts w:eastAsia="標楷體" w:cs="標楷體" w:ascii="標楷體" w:hAnsi="標楷體"/>
          <w:bCs/>
          <w:color w:val="000000"/>
          <w:sz w:val="20"/>
        </w:rPr>
        <w:t>04</w:t>
      </w:r>
      <w:r>
        <w:rPr>
          <w:rFonts w:ascii="標楷體" w:hAnsi="標楷體" w:cs="標楷體" w:eastAsia="標楷體"/>
          <w:bCs/>
          <w:color w:val="000000"/>
          <w:sz w:val="20"/>
        </w:rPr>
        <w:t>月</w:t>
      </w:r>
      <w:r>
        <w:rPr>
          <w:rFonts w:eastAsia="標楷體" w:cs="標楷體" w:ascii="標楷體" w:hAnsi="標楷體"/>
          <w:bCs/>
          <w:color w:val="000000"/>
          <w:sz w:val="20"/>
        </w:rPr>
        <w:t>27</w:t>
      </w:r>
      <w:r>
        <w:rPr>
          <w:rFonts w:ascii="標楷體" w:hAnsi="標楷體" w:cs="標楷體" w:eastAsia="標楷體"/>
          <w:bCs/>
          <w:color w:val="000000"/>
          <w:sz w:val="20"/>
        </w:rPr>
        <w:t>日中市教特字第</w:t>
      </w:r>
      <w:r>
        <w:rPr>
          <w:rFonts w:eastAsia="標楷體" w:cs="標楷體" w:ascii="標楷體" w:hAnsi="標楷體"/>
          <w:bCs/>
          <w:color w:val="000000"/>
          <w:sz w:val="20"/>
        </w:rPr>
        <w:t>1000022239</w:t>
      </w:r>
      <w:r>
        <w:rPr>
          <w:rFonts w:ascii="標楷體" w:hAnsi="標楷體" w:cs="標楷體" w:eastAsia="標楷體"/>
          <w:bCs/>
          <w:color w:val="000000"/>
          <w:sz w:val="20"/>
        </w:rPr>
        <w:t>號函發布</w:t>
      </w:r>
    </w:p>
    <w:p>
      <w:pPr>
        <w:pStyle w:val="Normal"/>
        <w:spacing w:lineRule="auto"/>
        <w:jc w:val="right"/>
        <w:rPr/>
      </w:pPr>
      <w:r>
        <w:rPr>
          <w:rFonts w:ascii="標楷體" w:hAnsi="標楷體" w:cs="標楷體" w:eastAsia="標楷體"/>
          <w:bCs/>
          <w:color w:val="000000"/>
          <w:sz w:val="20"/>
        </w:rPr>
        <w:t>中華民國</w:t>
      </w:r>
      <w:r>
        <w:rPr>
          <w:rFonts w:eastAsia="標楷體" w:cs="標楷體" w:ascii="標楷體" w:hAnsi="標楷體"/>
          <w:bCs/>
          <w:color w:val="000000"/>
          <w:sz w:val="20"/>
        </w:rPr>
        <w:t>101</w:t>
      </w:r>
      <w:r>
        <w:rPr>
          <w:rFonts w:ascii="標楷體" w:hAnsi="標楷體" w:cs="標楷體" w:eastAsia="標楷體"/>
          <w:bCs/>
          <w:color w:val="000000"/>
          <w:sz w:val="20"/>
        </w:rPr>
        <w:t>年</w:t>
      </w:r>
      <w:r>
        <w:rPr>
          <w:rFonts w:eastAsia="標楷體" w:cs="標楷體" w:ascii="標楷體" w:hAnsi="標楷體"/>
          <w:bCs/>
          <w:color w:val="000000"/>
          <w:sz w:val="20"/>
        </w:rPr>
        <w:t>12</w:t>
      </w:r>
      <w:r>
        <w:rPr>
          <w:rFonts w:ascii="標楷體" w:hAnsi="標楷體" w:cs="標楷體" w:eastAsia="標楷體"/>
          <w:bCs/>
          <w:color w:val="000000"/>
          <w:sz w:val="20"/>
        </w:rPr>
        <w:t>月</w:t>
      </w:r>
      <w:r>
        <w:rPr>
          <w:rFonts w:eastAsia="標楷體" w:cs="標楷體" w:ascii="標楷體" w:hAnsi="標楷體"/>
          <w:bCs/>
          <w:color w:val="000000"/>
          <w:sz w:val="20"/>
        </w:rPr>
        <w:t>06</w:t>
      </w:r>
      <w:r>
        <w:rPr>
          <w:rFonts w:ascii="標楷體" w:hAnsi="標楷體" w:cs="標楷體" w:eastAsia="標楷體"/>
          <w:bCs/>
          <w:color w:val="000000"/>
          <w:sz w:val="20"/>
        </w:rPr>
        <w:t>日中市教特字第</w:t>
      </w:r>
      <w:r>
        <w:rPr>
          <w:rFonts w:eastAsia="標楷體" w:cs="標楷體" w:ascii="標楷體" w:hAnsi="標楷體"/>
          <w:bCs/>
          <w:sz w:val="20"/>
        </w:rPr>
        <w:t>1010090739</w:t>
      </w:r>
      <w:r>
        <w:rPr>
          <w:rFonts w:ascii="標楷體" w:hAnsi="標楷體" w:cs="標楷體" w:eastAsia="標楷體"/>
          <w:bCs/>
          <w:color w:val="000000"/>
          <w:sz w:val="20"/>
        </w:rPr>
        <w:t>號函修正</w:t>
      </w:r>
    </w:p>
    <w:p>
      <w:pPr>
        <w:pStyle w:val="Normal"/>
        <w:spacing w:lineRule="auto"/>
        <w:jc w:val="right"/>
        <w:rPr/>
      </w:pPr>
      <w:r>
        <w:rPr>
          <w:rFonts w:ascii="標楷體" w:hAnsi="標楷體" w:cs="標楷體" w:eastAsia="標楷體"/>
          <w:bCs/>
          <w:color w:val="000000"/>
          <w:sz w:val="20"/>
        </w:rPr>
        <w:t>中華民國</w:t>
      </w:r>
      <w:r>
        <w:rPr>
          <w:rFonts w:eastAsia="標楷體" w:cs="標楷體" w:ascii="標楷體" w:hAnsi="標楷體"/>
          <w:bCs/>
          <w:color w:val="000000"/>
          <w:sz w:val="20"/>
        </w:rPr>
        <w:t>104</w:t>
      </w:r>
      <w:r>
        <w:rPr>
          <w:rFonts w:ascii="標楷體" w:hAnsi="標楷體" w:cs="標楷體" w:eastAsia="標楷體"/>
          <w:bCs/>
          <w:color w:val="000000"/>
          <w:sz w:val="20"/>
        </w:rPr>
        <w:t>年</w:t>
      </w:r>
      <w:r>
        <w:rPr>
          <w:rFonts w:eastAsia="標楷體" w:cs="標楷體" w:ascii="標楷體" w:hAnsi="標楷體"/>
          <w:bCs/>
          <w:color w:val="000000"/>
          <w:sz w:val="20"/>
        </w:rPr>
        <w:t>03</w:t>
      </w:r>
      <w:r>
        <w:rPr>
          <w:rFonts w:ascii="標楷體" w:hAnsi="標楷體" w:cs="標楷體" w:eastAsia="標楷體"/>
          <w:bCs/>
          <w:color w:val="000000"/>
          <w:sz w:val="20"/>
        </w:rPr>
        <w:t>月</w:t>
      </w:r>
      <w:r>
        <w:rPr>
          <w:rFonts w:eastAsia="標楷體" w:cs="標楷體" w:ascii="標楷體" w:hAnsi="標楷體"/>
          <w:bCs/>
          <w:color w:val="000000"/>
          <w:sz w:val="20"/>
        </w:rPr>
        <w:t>03</w:t>
      </w:r>
      <w:r>
        <w:rPr>
          <w:rFonts w:ascii="標楷體" w:hAnsi="標楷體" w:cs="標楷體" w:eastAsia="標楷體"/>
          <w:bCs/>
          <w:color w:val="000000"/>
          <w:sz w:val="20"/>
        </w:rPr>
        <w:t>日中市教特字第</w:t>
      </w:r>
      <w:r>
        <w:rPr>
          <w:rFonts w:eastAsia="標楷體" w:cs="標楷體" w:ascii="標楷體" w:hAnsi="標楷體"/>
          <w:bCs/>
          <w:sz w:val="20"/>
        </w:rPr>
        <w:t>1040013918</w:t>
      </w:r>
      <w:r>
        <w:rPr>
          <w:rFonts w:ascii="標楷體" w:hAnsi="標楷體" w:cs="標楷體" w:eastAsia="標楷體"/>
          <w:bCs/>
          <w:color w:val="000000"/>
          <w:sz w:val="20"/>
        </w:rPr>
        <w:t>號函修正</w:t>
      </w:r>
    </w:p>
    <w:p>
      <w:pPr>
        <w:pStyle w:val="Normal"/>
        <w:spacing w:lineRule="auto"/>
        <w:jc w:val="right"/>
        <w:rPr>
          <w:rFonts w:ascii="標楷體" w:hAnsi="標楷體" w:eastAsia="標楷體" w:cs="標楷體"/>
          <w:bCs/>
          <w:color w:val="000000"/>
          <w:sz w:val="20"/>
        </w:rPr>
      </w:pPr>
      <w:r>
        <w:rPr>
          <w:rFonts w:ascii="標楷體" w:hAnsi="標楷體" w:cs="標楷體" w:eastAsia="標楷體"/>
          <w:bCs/>
          <w:color w:val="000000"/>
          <w:sz w:val="20"/>
        </w:rPr>
        <w:t>中華民國</w:t>
      </w:r>
      <w:r>
        <w:rPr>
          <w:rFonts w:eastAsia="標楷體" w:cs="標楷體" w:ascii="標楷體" w:hAnsi="標楷體"/>
          <w:bCs/>
          <w:color w:val="000000"/>
          <w:sz w:val="20"/>
        </w:rPr>
        <w:t>106</w:t>
      </w:r>
      <w:r>
        <w:rPr>
          <w:rFonts w:ascii="標楷體" w:hAnsi="標楷體" w:cs="標楷體" w:eastAsia="標楷體"/>
          <w:bCs/>
          <w:color w:val="000000"/>
          <w:sz w:val="20"/>
        </w:rPr>
        <w:t>年</w:t>
      </w:r>
      <w:r>
        <w:rPr>
          <w:rFonts w:eastAsia="標楷體" w:cs="標楷體" w:ascii="標楷體" w:hAnsi="標楷體"/>
          <w:bCs/>
          <w:color w:val="000000"/>
          <w:sz w:val="20"/>
        </w:rPr>
        <w:t>02</w:t>
      </w:r>
      <w:r>
        <w:rPr>
          <w:rFonts w:ascii="標楷體" w:hAnsi="標楷體" w:cs="標楷體" w:eastAsia="標楷體"/>
          <w:bCs/>
          <w:color w:val="000000"/>
          <w:sz w:val="20"/>
        </w:rPr>
        <w:t>月</w:t>
      </w:r>
      <w:r>
        <w:rPr>
          <w:rFonts w:eastAsia="標楷體" w:cs="標楷體" w:ascii="標楷體" w:hAnsi="標楷體"/>
          <w:bCs/>
          <w:color w:val="000000"/>
          <w:sz w:val="20"/>
        </w:rPr>
        <w:t>14</w:t>
      </w:r>
      <w:r>
        <w:rPr>
          <w:rFonts w:ascii="標楷體" w:hAnsi="標楷體" w:cs="標楷體" w:eastAsia="標楷體"/>
          <w:bCs/>
          <w:color w:val="000000"/>
          <w:sz w:val="20"/>
        </w:rPr>
        <w:t>日中市教特字第</w:t>
      </w:r>
      <w:r>
        <w:rPr>
          <w:rFonts w:eastAsia="標楷體" w:cs="標楷體" w:ascii="標楷體" w:hAnsi="標楷體"/>
          <w:bCs/>
          <w:color w:val="000000"/>
          <w:sz w:val="20"/>
        </w:rPr>
        <w:t>1060011486</w:t>
      </w:r>
      <w:r>
        <w:rPr>
          <w:rFonts w:ascii="標楷體" w:hAnsi="標楷體" w:cs="標楷體" w:eastAsia="標楷體"/>
          <w:bCs/>
          <w:color w:val="000000"/>
          <w:sz w:val="20"/>
        </w:rPr>
        <w:t>號函修正</w:t>
      </w:r>
    </w:p>
    <w:p>
      <w:pPr>
        <w:pStyle w:val="Style23"/>
        <w:numPr>
          <w:ilvl w:val="0"/>
          <w:numId w:val="3"/>
        </w:numPr>
        <w:spacing w:lineRule="exact" w:line="480"/>
        <w:rPr>
          <w:rFonts w:ascii="標楷體" w:hAnsi="標楷體" w:eastAsia="標楷體" w:cs="標楷體"/>
          <w:bCs/>
          <w:color w:val="000000"/>
          <w:sz w:val="28"/>
          <w:szCs w:val="28"/>
        </w:rPr>
      </w:pPr>
      <w:r>
        <w:rPr>
          <w:rFonts w:ascii="標楷體" w:hAnsi="標楷體" w:cs="標楷體" w:eastAsia="標楷體"/>
          <w:bCs/>
          <w:color w:val="000000"/>
          <w:sz w:val="28"/>
          <w:szCs w:val="28"/>
        </w:rPr>
        <w:t>臺中市政府教育局（以下簡稱本局）為推展本局所轄高級中等以下學校（以下簡稱學校）特殊教育，激發從事特殊教育工作人員，主動積極服務特殊教育學生，以確保學生教育權，並表揚特殊教育楷模，特訂定本要點。</w:t>
      </w:r>
    </w:p>
    <w:p>
      <w:pPr>
        <w:pStyle w:val="Style23"/>
        <w:numPr>
          <w:ilvl w:val="0"/>
          <w:numId w:val="3"/>
        </w:numPr>
        <w:spacing w:lineRule="exact" w:line="480"/>
        <w:rPr/>
      </w:pPr>
      <w:r>
        <w:rPr>
          <w:rFonts w:ascii="標楷體" w:hAnsi="標楷體" w:cs="標楷體" w:eastAsia="標楷體"/>
          <w:bCs/>
          <w:color w:val="000000"/>
          <w:sz w:val="28"/>
          <w:szCs w:val="28"/>
        </w:rPr>
        <w:t>學校推薦</w:t>
      </w:r>
      <w:r>
        <w:rPr>
          <w:rFonts w:ascii="標楷體" w:hAnsi="標楷體" w:cs="標楷體" w:eastAsia="標楷體"/>
          <w:color w:val="000000"/>
          <w:sz w:val="28"/>
          <w:szCs w:val="28"/>
        </w:rPr>
        <w:t>優良特殊教育人員</w:t>
      </w:r>
      <w:r>
        <w:rPr>
          <w:rFonts w:ascii="標楷體" w:hAnsi="標楷體" w:cs="標楷體" w:eastAsia="標楷體"/>
          <w:bCs/>
          <w:color w:val="000000"/>
          <w:sz w:val="28"/>
          <w:szCs w:val="28"/>
        </w:rPr>
        <w:t>標準，除應符合下列基本條件外，並應具備第二項各款特殊優良事蹟之一：</w:t>
      </w:r>
    </w:p>
    <w:p>
      <w:pPr>
        <w:pStyle w:val="Style23"/>
        <w:numPr>
          <w:ilvl w:val="0"/>
          <w:numId w:val="5"/>
        </w:numPr>
        <w:spacing w:lineRule="exact" w:line="480"/>
        <w:ind w:left="1420" w:right="0" w:hanging="700"/>
        <w:rPr>
          <w:rFonts w:ascii="標楷體" w:hAnsi="標楷體" w:eastAsia="標楷體" w:cs="標楷體"/>
          <w:bCs/>
          <w:color w:val="000000"/>
          <w:sz w:val="28"/>
          <w:szCs w:val="28"/>
        </w:rPr>
      </w:pPr>
      <w:r>
        <w:rPr>
          <w:rFonts w:ascii="標楷體" w:hAnsi="標楷體" w:cs="標楷體" w:eastAsia="標楷體"/>
          <w:bCs/>
          <w:color w:val="000000"/>
          <w:sz w:val="28"/>
          <w:szCs w:val="28"/>
        </w:rPr>
        <w:t>最近三年連續服務於特殊教育界，且最近二年績效考核評列甲等或相當等級以上者。</w:t>
      </w:r>
    </w:p>
    <w:p>
      <w:pPr>
        <w:pStyle w:val="Style23"/>
        <w:numPr>
          <w:ilvl w:val="0"/>
          <w:numId w:val="5"/>
        </w:numPr>
        <w:spacing w:lineRule="exact" w:line="480"/>
        <w:ind w:left="1420" w:right="0" w:hanging="700"/>
        <w:rPr>
          <w:rFonts w:ascii="標楷體" w:hAnsi="標楷體" w:eastAsia="標楷體" w:cs="標楷體"/>
          <w:bCs/>
          <w:color w:val="000000"/>
          <w:sz w:val="28"/>
          <w:szCs w:val="28"/>
        </w:rPr>
      </w:pPr>
      <w:r>
        <w:rPr>
          <w:rFonts w:ascii="標楷體" w:hAnsi="標楷體" w:cs="標楷體" w:eastAsia="標楷體"/>
          <w:bCs/>
          <w:color w:val="000000"/>
          <w:sz w:val="28"/>
          <w:szCs w:val="28"/>
        </w:rPr>
        <w:t>未曾受刑事判決、懲戒處分，或最近五年內未受行政懲處者。</w:t>
      </w:r>
    </w:p>
    <w:p>
      <w:pPr>
        <w:pStyle w:val="Style23"/>
        <w:numPr>
          <w:ilvl w:val="0"/>
          <w:numId w:val="5"/>
        </w:numPr>
        <w:spacing w:lineRule="exact" w:line="480"/>
        <w:ind w:left="1420" w:right="0" w:hanging="700"/>
        <w:rPr>
          <w:rFonts w:ascii="標楷體" w:hAnsi="標楷體" w:eastAsia="標楷體" w:cs="標楷體"/>
          <w:bCs/>
          <w:color w:val="000000"/>
          <w:sz w:val="28"/>
          <w:szCs w:val="28"/>
        </w:rPr>
      </w:pPr>
      <w:r>
        <w:rPr>
          <w:rFonts w:ascii="標楷體" w:hAnsi="標楷體" w:cs="標楷體" w:eastAsia="標楷體"/>
          <w:bCs/>
          <w:color w:val="000000"/>
          <w:sz w:val="28"/>
          <w:szCs w:val="28"/>
        </w:rPr>
        <w:t>無教師法第十四條第一項各款及教育人員任用條例第三十一條規定所列情事之一者。</w:t>
      </w:r>
    </w:p>
    <w:p>
      <w:pPr>
        <w:pStyle w:val="Style23"/>
        <w:spacing w:lineRule="exact" w:line="480"/>
        <w:ind w:left="720" w:right="0" w:hanging="0"/>
        <w:rPr>
          <w:rFonts w:ascii="標楷體" w:hAnsi="標楷體" w:eastAsia="標楷體" w:cs="標楷體"/>
          <w:bCs/>
          <w:color w:val="000000"/>
          <w:sz w:val="28"/>
          <w:szCs w:val="28"/>
        </w:rPr>
      </w:pPr>
      <w:r>
        <w:rPr>
          <w:rFonts w:ascii="標楷體" w:hAnsi="標楷體" w:cs="標楷體" w:eastAsia="標楷體"/>
          <w:bCs/>
          <w:color w:val="000000"/>
          <w:sz w:val="28"/>
          <w:szCs w:val="28"/>
        </w:rPr>
        <w:t>特殊優良事蹟：</w:t>
      </w:r>
    </w:p>
    <w:p>
      <w:pPr>
        <w:pStyle w:val="Style23"/>
        <w:numPr>
          <w:ilvl w:val="0"/>
          <w:numId w:val="2"/>
        </w:numPr>
        <w:spacing w:lineRule="exact" w:line="480"/>
        <w:ind w:left="1360"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從事特殊教育教學，改進特殊教育教材、教法或教具，有具體成效者。</w:t>
      </w:r>
    </w:p>
    <w:p>
      <w:pPr>
        <w:pStyle w:val="Style23"/>
        <w:numPr>
          <w:ilvl w:val="0"/>
          <w:numId w:val="2"/>
        </w:numPr>
        <w:spacing w:lineRule="exact" w:line="480"/>
        <w:ind w:left="1360"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長期獻身特殊教育輔導工作，績效卓著者。</w:t>
      </w:r>
    </w:p>
    <w:p>
      <w:pPr>
        <w:pStyle w:val="Style23"/>
        <w:numPr>
          <w:ilvl w:val="0"/>
          <w:numId w:val="2"/>
        </w:numPr>
        <w:spacing w:lineRule="exact" w:line="480"/>
        <w:ind w:left="1360"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從事特殊教育研究，其成果有助特殊教育發展，事蹟具體者。</w:t>
      </w:r>
    </w:p>
    <w:p>
      <w:pPr>
        <w:pStyle w:val="Style23"/>
        <w:numPr>
          <w:ilvl w:val="0"/>
          <w:numId w:val="2"/>
        </w:numPr>
        <w:spacing w:lineRule="exact" w:line="480"/>
        <w:ind w:left="1360"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推展特殊教育行政工作，有具體績效者。</w:t>
      </w:r>
    </w:p>
    <w:p>
      <w:pPr>
        <w:pStyle w:val="Style23"/>
        <w:numPr>
          <w:ilvl w:val="0"/>
          <w:numId w:val="2"/>
        </w:numPr>
        <w:spacing w:lineRule="exact" w:line="480"/>
        <w:ind w:left="1360"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其他辦理特殊教育有具體事蹟及卓越成效者。</w:t>
      </w:r>
    </w:p>
    <w:p>
      <w:pPr>
        <w:pStyle w:val="Style23"/>
        <w:numPr>
          <w:ilvl w:val="0"/>
          <w:numId w:val="3"/>
        </w:numPr>
        <w:spacing w:lineRule="exact" w:line="480"/>
        <w:rPr/>
      </w:pPr>
      <w:r>
        <w:rPr>
          <w:rFonts w:ascii="標楷體" w:hAnsi="標楷體" w:cs="標楷體" w:eastAsia="標楷體"/>
          <w:bCs/>
          <w:color w:val="000000"/>
          <w:sz w:val="28"/>
          <w:szCs w:val="28"/>
        </w:rPr>
        <w:t>學校推薦</w:t>
      </w:r>
      <w:r>
        <w:rPr>
          <w:rFonts w:ascii="標楷體" w:hAnsi="標楷體" w:cs="標楷體" w:eastAsia="標楷體"/>
          <w:color w:val="000000"/>
          <w:sz w:val="28"/>
          <w:szCs w:val="28"/>
        </w:rPr>
        <w:t>優良特殊教育人員</w:t>
      </w:r>
      <w:r>
        <w:rPr>
          <w:rFonts w:ascii="標楷體" w:hAnsi="標楷體" w:cs="標楷體" w:eastAsia="標楷體"/>
          <w:bCs/>
          <w:color w:val="000000"/>
          <w:sz w:val="28"/>
          <w:szCs w:val="28"/>
        </w:rPr>
        <w:t>對象：</w:t>
      </w:r>
    </w:p>
    <w:p>
      <w:pPr>
        <w:pStyle w:val="Style23"/>
        <w:numPr>
          <w:ilvl w:val="0"/>
          <w:numId w:val="6"/>
        </w:numPr>
        <w:spacing w:lineRule="exact" w:line="480"/>
        <w:ind w:left="141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特殊教育學校之合格特殊教育教師、特殊教育相關專業人員、助理人員或行政人員。</w:t>
      </w:r>
    </w:p>
    <w:p>
      <w:pPr>
        <w:pStyle w:val="Style23"/>
        <w:numPr>
          <w:ilvl w:val="0"/>
          <w:numId w:val="6"/>
        </w:numPr>
        <w:spacing w:lineRule="exact" w:line="480"/>
        <w:ind w:left="141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高級中等學校之合格特殊教育教師或負責特殊教育業務之行政人員。</w:t>
      </w:r>
    </w:p>
    <w:p>
      <w:pPr>
        <w:pStyle w:val="Style23"/>
        <w:numPr>
          <w:ilvl w:val="0"/>
          <w:numId w:val="6"/>
        </w:numPr>
        <w:spacing w:lineRule="exact" w:line="480"/>
        <w:ind w:left="141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國民中學</w:t>
      </w:r>
      <w:r>
        <w:rPr>
          <w:rFonts w:eastAsia="標楷體" w:cs="標楷體" w:ascii="標楷體" w:hAnsi="標楷體"/>
          <w:bCs/>
          <w:color w:val="000000"/>
          <w:sz w:val="28"/>
          <w:szCs w:val="28"/>
        </w:rPr>
        <w:t>(</w:t>
      </w:r>
      <w:r>
        <w:rPr>
          <w:rFonts w:ascii="標楷體" w:hAnsi="標楷體" w:cs="標楷體" w:eastAsia="標楷體"/>
          <w:bCs/>
          <w:color w:val="000000"/>
          <w:sz w:val="28"/>
          <w:szCs w:val="28"/>
        </w:rPr>
        <w:t>以下簡稱國中</w:t>
      </w:r>
      <w:r>
        <w:rPr>
          <w:rFonts w:eastAsia="標楷體" w:cs="標楷體" w:ascii="標楷體" w:hAnsi="標楷體"/>
          <w:bCs/>
          <w:color w:val="000000"/>
          <w:sz w:val="28"/>
          <w:szCs w:val="28"/>
        </w:rPr>
        <w:t>)</w:t>
      </w:r>
      <w:r>
        <w:rPr>
          <w:rFonts w:ascii="標楷體" w:hAnsi="標楷體" w:cs="標楷體" w:eastAsia="標楷體"/>
          <w:bCs/>
          <w:color w:val="000000"/>
          <w:sz w:val="28"/>
          <w:szCs w:val="28"/>
        </w:rPr>
        <w:t>、國民小學</w:t>
      </w:r>
      <w:r>
        <w:rPr>
          <w:rFonts w:eastAsia="標楷體" w:cs="標楷體" w:ascii="標楷體" w:hAnsi="標楷體"/>
          <w:bCs/>
          <w:color w:val="000000"/>
          <w:sz w:val="28"/>
          <w:szCs w:val="28"/>
        </w:rPr>
        <w:t>(</w:t>
      </w:r>
      <w:r>
        <w:rPr>
          <w:rFonts w:ascii="標楷體" w:hAnsi="標楷體" w:cs="標楷體" w:eastAsia="標楷體"/>
          <w:bCs/>
          <w:color w:val="000000"/>
          <w:sz w:val="28"/>
          <w:szCs w:val="28"/>
        </w:rPr>
        <w:t>以下簡稱國小</w:t>
      </w:r>
      <w:r>
        <w:rPr>
          <w:rFonts w:eastAsia="標楷體" w:cs="標楷體" w:ascii="標楷體" w:hAnsi="標楷體"/>
          <w:bCs/>
          <w:color w:val="000000"/>
          <w:sz w:val="28"/>
          <w:szCs w:val="28"/>
        </w:rPr>
        <w:t>)</w:t>
      </w:r>
      <w:r>
        <w:rPr>
          <w:rFonts w:ascii="標楷體" w:hAnsi="標楷體" w:cs="標楷體" w:eastAsia="標楷體"/>
          <w:bCs/>
          <w:color w:val="000000"/>
          <w:sz w:val="28"/>
          <w:szCs w:val="28"/>
        </w:rPr>
        <w:t>與幼兒園之合格特殊教育教師或負責特殊教育業務之行政人員。</w:t>
      </w:r>
    </w:p>
    <w:p>
      <w:pPr>
        <w:pStyle w:val="Style23"/>
        <w:numPr>
          <w:ilvl w:val="0"/>
          <w:numId w:val="6"/>
        </w:numPr>
        <w:spacing w:lineRule="exact" w:line="480"/>
        <w:ind w:left="141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本局負責特殊教育之行政人員、借調教師從事特殊教育行政工作服務三年以上者。</w:t>
      </w:r>
    </w:p>
    <w:p>
      <w:pPr>
        <w:pStyle w:val="Style23"/>
        <w:numPr>
          <w:ilvl w:val="0"/>
          <w:numId w:val="3"/>
        </w:numPr>
        <w:spacing w:lineRule="exact" w:line="480"/>
        <w:rPr/>
      </w:pPr>
      <w:r>
        <w:rPr>
          <w:rFonts w:ascii="標楷體" w:hAnsi="標楷體" w:cs="標楷體" w:eastAsia="標楷體"/>
          <w:bCs/>
          <w:color w:val="000000"/>
          <w:sz w:val="28"/>
          <w:szCs w:val="28"/>
        </w:rPr>
        <w:t>學校推薦</w:t>
      </w:r>
      <w:r>
        <w:rPr>
          <w:rFonts w:ascii="標楷體" w:hAnsi="標楷體" w:cs="標楷體" w:eastAsia="標楷體"/>
          <w:color w:val="000000"/>
          <w:sz w:val="28"/>
          <w:szCs w:val="28"/>
        </w:rPr>
        <w:t>優良特殊教育人員</w:t>
      </w:r>
      <w:r>
        <w:rPr>
          <w:rFonts w:ascii="標楷體" w:hAnsi="標楷體" w:cs="標楷體" w:eastAsia="標楷體"/>
          <w:bCs/>
          <w:color w:val="000000"/>
          <w:sz w:val="28"/>
          <w:szCs w:val="28"/>
        </w:rPr>
        <w:t>組別及名額：</w:t>
      </w:r>
    </w:p>
    <w:p>
      <w:pPr>
        <w:pStyle w:val="Style23"/>
        <w:numPr>
          <w:ilvl w:val="0"/>
          <w:numId w:val="1"/>
        </w:numPr>
        <w:spacing w:lineRule="exact" w:line="480"/>
        <w:ind w:left="141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私立特殊教育學校：二十四班以下者，得推薦二名；二十五班以上者，得推薦四名。</w:t>
      </w:r>
    </w:p>
    <w:p>
      <w:pPr>
        <w:pStyle w:val="Style23"/>
        <w:numPr>
          <w:ilvl w:val="0"/>
          <w:numId w:val="1"/>
        </w:numPr>
        <w:spacing w:lineRule="exact" w:line="480"/>
        <w:ind w:left="141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市立高級中等學校：有特殊教育學生就讀者，每校得推薦一名特殊教育教師或負責特殊教育業務之行政人員。</w:t>
      </w:r>
    </w:p>
    <w:p>
      <w:pPr>
        <w:pStyle w:val="Style23"/>
        <w:numPr>
          <w:ilvl w:val="0"/>
          <w:numId w:val="1"/>
        </w:numPr>
        <w:spacing w:lineRule="exact" w:line="480"/>
        <w:ind w:left="141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公私立國中、國小及幼兒園：有特殊教育學生就讀者，每校得推薦一名特殊教育教師或負責特殊教育業務之行政人員。</w:t>
      </w:r>
    </w:p>
    <w:p>
      <w:pPr>
        <w:pStyle w:val="Style23"/>
        <w:numPr>
          <w:ilvl w:val="0"/>
          <w:numId w:val="1"/>
        </w:numPr>
        <w:spacing w:lineRule="exact" w:line="480"/>
        <w:ind w:left="141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本局：得推薦行政人員一至二名。</w:t>
      </w:r>
    </w:p>
    <w:p>
      <w:pPr>
        <w:pStyle w:val="Style23"/>
        <w:numPr>
          <w:ilvl w:val="0"/>
          <w:numId w:val="3"/>
        </w:numPr>
        <w:spacing w:lineRule="exact" w:line="480"/>
        <w:rPr/>
      </w:pPr>
      <w:r>
        <w:rPr>
          <w:rFonts w:ascii="標楷體" w:hAnsi="標楷體" w:cs="標楷體" w:eastAsia="標楷體"/>
          <w:color w:val="000000"/>
          <w:sz w:val="28"/>
          <w:szCs w:val="28"/>
        </w:rPr>
        <w:t>優良特殊教育人員之遴選</w:t>
      </w:r>
      <w:r>
        <w:rPr>
          <w:rFonts w:ascii="標楷體" w:hAnsi="標楷體" w:cs="標楷體" w:eastAsia="標楷體"/>
          <w:bCs/>
          <w:color w:val="000000"/>
          <w:sz w:val="28"/>
          <w:szCs w:val="28"/>
        </w:rPr>
        <w:t>，由各學校校長應召集各處（室）行政代表、教師代表、家長代表等相關人士組成評審小組審議，報請本局辦理評選。</w:t>
      </w:r>
    </w:p>
    <w:p>
      <w:pPr>
        <w:pStyle w:val="Style23"/>
        <w:numPr>
          <w:ilvl w:val="0"/>
          <w:numId w:val="3"/>
        </w:numPr>
        <w:spacing w:lineRule="exact" w:line="480"/>
        <w:rPr>
          <w:rFonts w:ascii="標楷體" w:hAnsi="標楷體" w:eastAsia="標楷體" w:cs="標楷體"/>
          <w:bCs/>
          <w:color w:val="000000"/>
          <w:sz w:val="28"/>
          <w:szCs w:val="28"/>
        </w:rPr>
      </w:pPr>
      <w:r>
        <w:rPr>
          <w:rFonts w:ascii="標楷體" w:hAnsi="標楷體" w:cs="標楷體" w:eastAsia="標楷體"/>
          <w:bCs/>
          <w:color w:val="000000"/>
          <w:sz w:val="28"/>
          <w:szCs w:val="28"/>
        </w:rPr>
        <w:t>前點之評選由本局組成審查小組負責辦理。</w:t>
      </w:r>
    </w:p>
    <w:p>
      <w:pPr>
        <w:pStyle w:val="Style23"/>
        <w:spacing w:lineRule="exact" w:line="480"/>
        <w:ind w:left="720" w:right="0" w:hanging="0"/>
        <w:rPr>
          <w:rFonts w:ascii="標楷體" w:hAnsi="標楷體" w:eastAsia="標楷體" w:cs="標楷體"/>
          <w:bCs/>
          <w:color w:val="000000"/>
          <w:sz w:val="28"/>
          <w:szCs w:val="28"/>
        </w:rPr>
      </w:pPr>
      <w:r>
        <w:rPr>
          <w:rFonts w:ascii="標楷體" w:hAnsi="標楷體" w:cs="標楷體" w:eastAsia="標楷體"/>
          <w:bCs/>
          <w:color w:val="000000"/>
          <w:sz w:val="28"/>
          <w:szCs w:val="28"/>
        </w:rPr>
        <w:t>當選優良特殊教育人員者，由本局擇優推薦參加教育部表揚優良特殊教育人員決選。</w:t>
      </w:r>
    </w:p>
    <w:p>
      <w:pPr>
        <w:pStyle w:val="Style23"/>
        <w:numPr>
          <w:ilvl w:val="0"/>
          <w:numId w:val="3"/>
        </w:numPr>
        <w:spacing w:lineRule="exact" w:line="480"/>
        <w:rPr>
          <w:rFonts w:ascii="標楷體" w:hAnsi="標楷體" w:eastAsia="標楷體" w:cs="標楷體"/>
          <w:bCs/>
          <w:color w:val="000000"/>
          <w:sz w:val="28"/>
          <w:szCs w:val="28"/>
        </w:rPr>
      </w:pPr>
      <w:r>
        <w:rPr>
          <w:rFonts w:ascii="標楷體" w:hAnsi="標楷體" w:cs="標楷體" w:eastAsia="標楷體"/>
          <w:bCs/>
          <w:color w:val="000000"/>
          <w:sz w:val="28"/>
          <w:szCs w:val="28"/>
        </w:rPr>
        <w:t>獎勵方式：</w:t>
      </w:r>
    </w:p>
    <w:p>
      <w:pPr>
        <w:pStyle w:val="Style23"/>
        <w:numPr>
          <w:ilvl w:val="0"/>
          <w:numId w:val="4"/>
        </w:numPr>
        <w:spacing w:lineRule="exact" w:line="480"/>
        <w:ind w:left="124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市立學校及幼兒園獲選本市優良特殊教育人員者，給予嘉獎乙次，並得致贈新臺幣壹千元同值禮品或禮券（由各單位服務費用項下勻支） 以資鼓勵。</w:t>
      </w:r>
    </w:p>
    <w:p>
      <w:pPr>
        <w:pStyle w:val="Style23"/>
        <w:spacing w:lineRule="exact" w:line="480"/>
        <w:ind w:left="1247" w:right="0" w:hanging="0"/>
        <w:rPr>
          <w:rFonts w:ascii="標楷體" w:hAnsi="標楷體" w:eastAsia="標楷體" w:cs="標楷體"/>
          <w:bCs/>
          <w:color w:val="000000"/>
          <w:sz w:val="28"/>
          <w:szCs w:val="28"/>
        </w:rPr>
      </w:pPr>
      <w:r>
        <w:rPr>
          <w:rFonts w:ascii="標楷體" w:hAnsi="標楷體" w:cs="標楷體" w:eastAsia="標楷體"/>
          <w:bCs/>
          <w:color w:val="000000"/>
          <w:sz w:val="28"/>
          <w:szCs w:val="28"/>
        </w:rPr>
        <w:t>其他私立各級學校獲選本市優良特殊教育人員者，頒發獎狀乙紙，各校可視單位預算酌予致贈新臺幣壹千元同值禮品或禮券（由各推薦單位業務費支應）以資鼓勵。</w:t>
      </w:r>
    </w:p>
    <w:p>
      <w:pPr>
        <w:pStyle w:val="Style23"/>
        <w:numPr>
          <w:ilvl w:val="0"/>
          <w:numId w:val="4"/>
        </w:numPr>
        <w:spacing w:lineRule="exact" w:line="480"/>
        <w:ind w:left="124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本局推薦參加教育部表揚優良特殊教育人員決選未通過者，嘉獎兩次。</w:t>
      </w:r>
    </w:p>
    <w:p>
      <w:pPr>
        <w:pStyle w:val="Style23"/>
        <w:numPr>
          <w:ilvl w:val="0"/>
          <w:numId w:val="4"/>
        </w:numPr>
        <w:spacing w:lineRule="exact" w:line="480"/>
        <w:ind w:left="124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本局推薦參加教育部表揚優良特殊教育人員決選通過者，記功乙次。</w:t>
      </w:r>
    </w:p>
    <w:p>
      <w:pPr>
        <w:pStyle w:val="Style23"/>
        <w:numPr>
          <w:ilvl w:val="0"/>
          <w:numId w:val="4"/>
        </w:numPr>
        <w:spacing w:lineRule="exact" w:line="480"/>
        <w:ind w:left="124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各類獲獎人員由服務學校選擇適當節日</w:t>
      </w:r>
      <w:r>
        <w:rPr>
          <w:rFonts w:eastAsia="標楷體" w:cs="標楷體" w:ascii="標楷體" w:hAnsi="標楷體"/>
          <w:bCs/>
          <w:color w:val="000000"/>
          <w:sz w:val="28"/>
          <w:szCs w:val="28"/>
        </w:rPr>
        <w:t>(</w:t>
      </w:r>
      <w:r>
        <w:rPr>
          <w:rFonts w:ascii="標楷體" w:hAnsi="標楷體" w:cs="標楷體" w:eastAsia="標楷體"/>
          <w:bCs/>
          <w:color w:val="000000"/>
          <w:sz w:val="28"/>
          <w:szCs w:val="28"/>
        </w:rPr>
        <w:t>如：教師節</w:t>
      </w:r>
      <w:r>
        <w:rPr>
          <w:rFonts w:eastAsia="標楷體" w:cs="標楷體" w:ascii="標楷體" w:hAnsi="標楷體"/>
          <w:bCs/>
          <w:color w:val="000000"/>
          <w:sz w:val="28"/>
          <w:szCs w:val="28"/>
        </w:rPr>
        <w:t>)</w:t>
      </w:r>
      <w:r>
        <w:rPr>
          <w:rFonts w:ascii="標楷體" w:hAnsi="標楷體" w:cs="標楷體" w:eastAsia="標楷體"/>
          <w:bCs/>
          <w:color w:val="000000"/>
          <w:sz w:val="28"/>
          <w:szCs w:val="28"/>
        </w:rPr>
        <w:t>公開場合表彰。</w:t>
      </w:r>
    </w:p>
    <w:p>
      <w:pPr>
        <w:pStyle w:val="Style23"/>
        <w:numPr>
          <w:ilvl w:val="0"/>
          <w:numId w:val="3"/>
        </w:numPr>
        <w:spacing w:lineRule="exact" w:line="480"/>
        <w:rPr>
          <w:rFonts w:ascii="標楷體" w:hAnsi="標楷體" w:eastAsia="標楷體" w:cs="標楷體"/>
          <w:bCs/>
          <w:color w:val="000000"/>
          <w:sz w:val="28"/>
          <w:szCs w:val="28"/>
        </w:rPr>
      </w:pPr>
      <w:r>
        <w:rPr>
          <w:rFonts w:ascii="標楷體" w:hAnsi="標楷體" w:cs="標楷體" w:eastAsia="標楷體"/>
          <w:bCs/>
          <w:color w:val="000000"/>
          <w:sz w:val="28"/>
          <w:szCs w:val="28"/>
        </w:rPr>
        <w:t>當選優良特殊教育人員者，由本局規劃辦理經驗（研究心得）分享、成果發表會、特殊教育教學觀摩或研習。</w:t>
      </w:r>
    </w:p>
    <w:p>
      <w:pPr>
        <w:pStyle w:val="Style23"/>
        <w:numPr>
          <w:ilvl w:val="0"/>
          <w:numId w:val="3"/>
        </w:numPr>
        <w:spacing w:lineRule="exact" w:line="480"/>
        <w:rPr>
          <w:rFonts w:ascii="標楷體" w:hAnsi="標楷體" w:eastAsia="標楷體" w:cs="標楷體"/>
          <w:bCs/>
          <w:color w:val="000000"/>
          <w:sz w:val="28"/>
          <w:szCs w:val="28"/>
        </w:rPr>
      </w:pPr>
      <w:r>
        <w:rPr>
          <w:rFonts w:ascii="標楷體" w:hAnsi="標楷體" w:cs="標楷體" w:eastAsia="標楷體"/>
          <w:bCs/>
          <w:color w:val="000000"/>
          <w:sz w:val="28"/>
          <w:szCs w:val="28"/>
        </w:rPr>
        <w:t>其他應注意事項：</w:t>
      </w:r>
    </w:p>
    <w:p>
      <w:pPr>
        <w:pStyle w:val="Style23"/>
        <w:numPr>
          <w:ilvl w:val="0"/>
          <w:numId w:val="7"/>
        </w:numPr>
        <w:spacing w:lineRule="exact" w:line="480"/>
        <w:ind w:left="124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凡曾接受教育部與所屬機關（構）學校模範公務人員選拔作業要點、師鐸獎、本市或其他縣市優良教育人員及優良特殊教育人員表揚者，五年內不得再推薦表揚。</w:t>
      </w:r>
    </w:p>
    <w:p>
      <w:pPr>
        <w:pStyle w:val="Style23"/>
        <w:numPr>
          <w:ilvl w:val="0"/>
          <w:numId w:val="7"/>
        </w:numPr>
        <w:spacing w:lineRule="exact" w:line="480"/>
        <w:ind w:left="1247" w:right="0" w:hanging="680"/>
        <w:rPr>
          <w:rFonts w:ascii="標楷體" w:hAnsi="標楷體" w:eastAsia="標楷體" w:cs="標楷體"/>
          <w:bCs/>
          <w:color w:val="000000"/>
          <w:sz w:val="28"/>
          <w:szCs w:val="28"/>
        </w:rPr>
      </w:pPr>
      <w:r>
        <w:rPr>
          <w:rFonts w:ascii="標楷體" w:hAnsi="標楷體" w:cs="標楷體" w:eastAsia="標楷體"/>
          <w:bCs/>
          <w:color w:val="000000"/>
          <w:sz w:val="28"/>
          <w:szCs w:val="28"/>
        </w:rPr>
        <w:t>所有被推薦者資料，不另退件。</w:t>
      </w:r>
    </w:p>
    <w:p>
      <w:pPr>
        <w:pStyle w:val="Style23"/>
        <w:numPr>
          <w:ilvl w:val="0"/>
          <w:numId w:val="7"/>
        </w:numPr>
        <w:spacing w:lineRule="exact" w:line="480"/>
        <w:ind w:left="1247" w:right="0" w:hanging="680"/>
        <w:rPr>
          <w:rFonts w:ascii="標楷體" w:hAnsi="標楷體" w:eastAsia="標楷體" w:cs="標楷體"/>
          <w:bCs/>
          <w:color w:val="000000"/>
          <w:sz w:val="28"/>
          <w:szCs w:val="28"/>
        </w:rPr>
      </w:pPr>
      <w:bookmarkStart w:id="1" w:name="__DdeLink__157_234923110"/>
      <w:bookmarkEnd w:id="1"/>
      <w:r>
        <w:rPr>
          <w:rFonts w:ascii="標楷體" w:hAnsi="標楷體" w:cs="標楷體" w:eastAsia="標楷體"/>
          <w:bCs/>
          <w:color w:val="000000"/>
          <w:sz w:val="28"/>
          <w:szCs w:val="28"/>
        </w:rPr>
        <w:t>學校推薦獲得入選者之資料若有不實情形，經查屬實者，應撤銷獎勵，並視情節予以議處。</w:t>
      </w:r>
    </w:p>
    <w:sectPr>
      <w:type w:val="nextPage"/>
      <w:pgSz w:w="11906" w:h="16838"/>
      <w:pgMar w:left="1276" w:right="1274" w:header="0" w:top="993" w:footer="0" w:bottom="993" w:gutter="0"/>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標楷體">
    <w:charset w:val="88"/>
    <w:family w:val="script"/>
    <w:pitch w:val="default"/>
  </w:font>
  <w:font w:name="細明體">
    <w:altName w:val="MingLiU"/>
    <w:charset w:val="88"/>
    <w:family w:val="modern"/>
    <w:pitch w:val="default"/>
  </w:font>
  <w:font w:name="sөũ">
    <w:altName w:val="Times New Roman"/>
    <w:charset w:val="88"/>
    <w:family w:val="roman"/>
    <w:pitch w:val="default"/>
  </w:font>
  <w:font w:name="Liberation Sans">
    <w:altName w:val="Arial"/>
    <w:charset w:val="88"/>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taiwaneseCountingThousand"/>
      <w:lvlText w:val="(%1)"/>
      <w:lvlJc w:val="left"/>
      <w:pPr>
        <w:ind w:left="980" w:hanging="840"/>
      </w:pPr>
      <w:rPr>
        <w:sz w:val="28"/>
        <w:szCs w:val="28"/>
        <w:bCs/>
      </w:rPr>
    </w:lvl>
  </w:abstractNum>
  <w:abstractNum w:abstractNumId="2">
    <w:lvl w:ilvl="0">
      <w:start w:val="1"/>
      <w:numFmt w:val="taiwaneseCountingThousand"/>
      <w:lvlText w:val="(%1)"/>
      <w:lvlJc w:val="left"/>
      <w:pPr>
        <w:ind w:left="980" w:hanging="840"/>
      </w:pPr>
      <w:rPr/>
    </w:lvl>
  </w:abstractNum>
  <w:abstractNum w:abstractNumId="3">
    <w:lvl w:ilvl="0">
      <w:start w:val="1"/>
      <w:numFmt w:val="taiwaneseCountingThousand"/>
      <w:lvlText w:val="%1、"/>
      <w:lvlJc w:val="left"/>
      <w:pPr>
        <w:ind w:left="720" w:hanging="720"/>
      </w:pPr>
      <w:rPr>
        <w:sz w:val="28"/>
        <w:szCs w:val="28"/>
        <w:bCs/>
      </w:rPr>
    </w:lvl>
  </w:abstractNum>
  <w:abstractNum w:abstractNumId="4">
    <w:lvl w:ilvl="0">
      <w:start w:val="1"/>
      <w:numFmt w:val="taiwaneseCountingThousand"/>
      <w:lvlText w:val="(%1)"/>
      <w:lvlJc w:val="left"/>
      <w:pPr>
        <w:ind w:left="980" w:hanging="840"/>
      </w:pPr>
      <w:rPr/>
    </w:lvl>
  </w:abstractNum>
  <w:abstractNum w:abstractNumId="5">
    <w:lvl w:ilvl="0">
      <w:start w:val="1"/>
      <w:numFmt w:val="taiwaneseCountingThousand"/>
      <w:lvlText w:val="(%1)"/>
      <w:lvlJc w:val="left"/>
      <w:pPr>
        <w:ind w:left="980" w:hanging="840"/>
      </w:pPr>
      <w:rPr/>
    </w:lvl>
  </w:abstractNum>
  <w:abstractNum w:abstractNumId="6">
    <w:lvl w:ilvl="0">
      <w:start w:val="1"/>
      <w:numFmt w:val="taiwaneseCountingThousand"/>
      <w:lvlText w:val="(%1)"/>
      <w:lvlJc w:val="left"/>
      <w:pPr>
        <w:ind w:left="980" w:hanging="840"/>
      </w:pPr>
      <w:rPr>
        <w:sz w:val="28"/>
        <w:szCs w:val="28"/>
        <w:bCs/>
      </w:rPr>
    </w:lvl>
  </w:abstractNum>
  <w:abstractNum w:abstractNumId="7">
    <w:lvl w:ilvl="0">
      <w:start w:val="1"/>
      <w:numFmt w:val="taiwaneseCountingThousand"/>
      <w:lvlText w:val="(%1)"/>
      <w:lvlJc w:val="left"/>
      <w:pPr>
        <w:ind w:left="980" w:hanging="840"/>
      </w:pPr>
      <w:rPr>
        <w:sz w:val="28"/>
        <w:szCs w:val="28"/>
        <w:bCs/>
      </w:rPr>
    </w:lvl>
  </w:abstractNum>
  <w:abstractNum w:abstractNumId="8">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48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新細明體" w:cs="Mangal"/>
        <w:szCs w:val="24"/>
        <w:lang w:val="en-US" w:eastAsia="zh-TW" w:bidi="hi-IN"/>
      </w:rPr>
    </w:rPrDefault>
    <w:pPrDefault>
      <w:pPr/>
    </w:pPrDefault>
  </w:docDefaults>
  <w:style w:type="paragraph" w:styleId="Normal">
    <w:name w:val="Normal"/>
    <w:qFormat/>
    <w:pPr>
      <w:widowControl w:val="false"/>
      <w:suppressAutoHyphens w:val="true"/>
      <w:kinsoku w:val="true"/>
      <w:overflowPunct w:val="true"/>
      <w:autoSpaceDE w:val="true"/>
      <w:bidi w:val="0"/>
    </w:pPr>
    <w:rPr>
      <w:rFonts w:ascii="Calibri" w:hAnsi="Calibri" w:eastAsia="新細明體;PMingLiU" w:cs="Times New Roman"/>
      <w:color w:val="auto"/>
      <w:sz w:val="24"/>
      <w:szCs w:val="22"/>
      <w:lang w:val="en-US" w:eastAsia="zh-TW" w:bidi="ar-SA"/>
    </w:rPr>
  </w:style>
  <w:style w:type="character" w:styleId="WW8Num1z0">
    <w:name w:val="WW8Num1z0"/>
    <w:qFormat/>
    <w:rPr>
      <w:color w:val="000000"/>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標楷體" w:hAnsi="標楷體" w:eastAsia="標楷體" w:cs="標楷體"/>
      <w:bCs/>
      <w:color w:val="000000"/>
      <w:sz w:val="28"/>
      <w:szCs w:val="28"/>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color w:val="000000"/>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標楷體" w:hAnsi="標楷體" w:eastAsia="標楷體" w:cs="標楷體"/>
      <w:bCs/>
      <w:color w:val="000000"/>
      <w:sz w:val="28"/>
      <w:szCs w:val="28"/>
      <w:lang w:val="en-US"/>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color w:val="000000"/>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color w:val="000000"/>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color w:val="000000"/>
      <w:sz w:val="24"/>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color w:val="000000"/>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color w:val="000000"/>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color w:val="000000"/>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Calibri" w:hAnsi="Calibri" w:eastAsia="新細明體;PMingLiU" w:cs="Calibri"/>
      <w:color w:val="000000"/>
      <w:sz w:val="24"/>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rFonts w:ascii="標楷體" w:hAnsi="標楷體" w:eastAsia="標楷體" w:cs="標楷體"/>
      <w:bCs/>
      <w:color w:val="000000"/>
      <w:sz w:val="28"/>
      <w:szCs w:val="28"/>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color w:val="000000"/>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rFonts w:ascii="標楷體" w:hAnsi="標楷體" w:eastAsia="標楷體" w:cs="標楷體"/>
      <w:bCs/>
      <w:color w:val="000000"/>
      <w:sz w:val="28"/>
      <w:szCs w:val="28"/>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Style14">
    <w:name w:val="預設段落字型"/>
    <w:qFormat/>
    <w:rPr/>
  </w:style>
  <w:style w:type="character" w:styleId="Style15">
    <w:name w:val="純文字 字元"/>
    <w:qFormat/>
    <w:rPr>
      <w:rFonts w:ascii="細明體;MingLiU" w:hAnsi="細明體;MingLiU" w:eastAsia="細明體;MingLiU" w:cs="Courier New"/>
      <w:szCs w:val="24"/>
    </w:rPr>
  </w:style>
  <w:style w:type="character" w:styleId="Style16">
    <w:name w:val="頁首 字元"/>
    <w:qFormat/>
    <w:rPr>
      <w:sz w:val="20"/>
      <w:szCs w:val="20"/>
    </w:rPr>
  </w:style>
  <w:style w:type="character" w:styleId="Style17">
    <w:name w:val="頁尾 字元"/>
    <w:qFormat/>
    <w:rPr>
      <w:sz w:val="20"/>
      <w:szCs w:val="20"/>
    </w:rPr>
  </w:style>
  <w:style w:type="character" w:styleId="Dialogtext1">
    <w:name w:val="dialog_text1"/>
    <w:qFormat/>
    <w:rPr>
      <w:rFonts w:ascii="sөũ;Times New Roman" w:hAnsi="sөũ;Times New Roman" w:cs="sөũ;Times New Roman"/>
      <w:color w:val="000000"/>
      <w:sz w:val="24"/>
      <w:szCs w:val="24"/>
    </w:rPr>
  </w:style>
  <w:style w:type="paragraph" w:styleId="Style18">
    <w:name w:val="標題"/>
    <w:basedOn w:val="Normal"/>
    <w:next w:val="Style19"/>
    <w:qFormat/>
    <w:pPr>
      <w:keepNext/>
      <w:spacing w:before="240" w:after="120"/>
    </w:pPr>
    <w:rPr>
      <w:rFonts w:ascii="Liberation Sans" w:hAnsi="Liberation Sans" w:eastAsia="微軟正黑體" w:cs="Mangal"/>
      <w:sz w:val="28"/>
      <w:szCs w:val="28"/>
    </w:rPr>
  </w:style>
  <w:style w:type="paragraph" w:styleId="Style19">
    <w:name w:val="內文"/>
    <w:basedOn w:val="Normal"/>
    <w:pPr>
      <w:spacing w:lineRule="auto" w:line="288" w:before="0" w:after="140"/>
    </w:pPr>
    <w:rPr/>
  </w:style>
  <w:style w:type="paragraph" w:styleId="Style20">
    <w:name w:val="清單"/>
    <w:basedOn w:val="Style19"/>
    <w:pPr/>
    <w:rPr>
      <w:rFonts w:cs="Mangal"/>
    </w:rPr>
  </w:style>
  <w:style w:type="paragraph" w:styleId="Style21">
    <w:name w:val="圖表標示"/>
    <w:basedOn w:val="Normal"/>
    <w:pPr>
      <w:suppressLineNumbers/>
      <w:spacing w:before="120" w:after="120"/>
    </w:pPr>
    <w:rPr>
      <w:rFonts w:cs="Mangal"/>
      <w:i/>
      <w:iCs/>
      <w:sz w:val="24"/>
      <w:szCs w:val="24"/>
    </w:rPr>
  </w:style>
  <w:style w:type="paragraph" w:styleId="Style22">
    <w:name w:val="索引"/>
    <w:basedOn w:val="Normal"/>
    <w:qFormat/>
    <w:pPr>
      <w:suppressLineNumbers/>
    </w:pPr>
    <w:rPr>
      <w:rFonts w:cs="Mangal"/>
    </w:rPr>
  </w:style>
  <w:style w:type="paragraph" w:styleId="Style23">
    <w:name w:val="清單段落"/>
    <w:basedOn w:val="Normal"/>
    <w:qFormat/>
    <w:pPr>
      <w:ind w:left="480" w:right="0" w:hanging="0"/>
    </w:pPr>
    <w:rPr/>
  </w:style>
  <w:style w:type="paragraph" w:styleId="Style24">
    <w:name w:val="純文字"/>
    <w:basedOn w:val="Normal"/>
    <w:qFormat/>
    <w:pPr/>
    <w:rPr>
      <w:rFonts w:ascii="細明體;MingLiU" w:hAnsi="細明體;MingLiU" w:eastAsia="細明體;MingLiU" w:cs="Courier New"/>
      <w:szCs w:val="24"/>
    </w:rPr>
  </w:style>
  <w:style w:type="paragraph" w:styleId="Style25">
    <w:name w:val="頁首"/>
    <w:basedOn w:val="Normal"/>
    <w:pPr>
      <w:snapToGrid w:val="false"/>
    </w:pPr>
    <w:rPr>
      <w:sz w:val="20"/>
      <w:szCs w:val="20"/>
    </w:rPr>
  </w:style>
  <w:style w:type="paragraph" w:styleId="Style26">
    <w:name w:val="頁尾"/>
    <w:basedOn w:val="Normal"/>
    <w:pPr>
      <w:snapToGrid w:val="false"/>
    </w:pPr>
    <w:rPr>
      <w:sz w:val="20"/>
      <w:szCs w:val="20"/>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LibreOffice/4.4.3.2$Windows_x86 LibreOffice_project/88805f81e9fe61362df02b9941de8e38a9b5fd16</Application>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2017-02-15T17:14:00Z</dcterms:created>
  <dc:creator>Your User Name</dc:creator>
  <dc:language>zh-TW</dc:language>
  <cp:lastModifiedBy>黃柏喬</cp:lastModifiedBy>
  <dcterms:modified xsi:type="dcterms:W3CDTF">2017-02-15T17:14:00Z</dcterms:modified>
  <cp:revision>2</cp:revision>
</cp:coreProperties>
</file>