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3BB" w:rsidRPr="00FC3496" w:rsidRDefault="00E413BB" w:rsidP="00E413BB">
      <w:pPr>
        <w:widowControl/>
        <w:adjustRightInd w:val="0"/>
        <w:snapToGrid w:val="0"/>
        <w:spacing w:afterLines="50" w:line="46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主計處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第一條、第十三條修正條文</w:t>
      </w:r>
    </w:p>
    <w:p w:rsidR="00E413BB" w:rsidRPr="00FC3496" w:rsidRDefault="00E413BB" w:rsidP="00E413BB">
      <w:pPr>
        <w:widowControl/>
        <w:adjustRightInd w:val="0"/>
        <w:snapToGrid w:val="0"/>
        <w:spacing w:line="460" w:lineRule="exact"/>
        <w:ind w:left="840" w:hangingChars="300" w:hanging="840"/>
        <w:jc w:val="both"/>
        <w:rPr>
          <w:rFonts w:ascii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第一條    </w:t>
      </w:r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本規程依</w:t>
      </w:r>
      <w:proofErr w:type="gramStart"/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臺</w:t>
      </w:r>
      <w:proofErr w:type="gramEnd"/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中市政府組織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自治條例</w:t>
      </w:r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第六條第二項規定訂定之</w:t>
      </w:r>
      <w:r w:rsidRPr="00FC3496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E413BB" w:rsidRPr="004F33E3" w:rsidRDefault="00E413BB" w:rsidP="00E413BB">
      <w:pPr>
        <w:widowControl/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第十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條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 w:rsidRPr="004F33E3">
          <w:rPr>
            <w:rFonts w:ascii="標楷體" w:eastAsia="標楷體" w:hAnsi="標楷體" w:cs="新細明體" w:hint="eastAsia"/>
            <w:kern w:val="0"/>
            <w:sz w:val="28"/>
            <w:szCs w:val="28"/>
          </w:rPr>
          <w:t>中華民國九十九年十二月二十五日</w:t>
        </w:r>
      </w:smartTag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施行。</w:t>
      </w:r>
    </w:p>
    <w:p w:rsidR="00E413BB" w:rsidRPr="00103D1B" w:rsidRDefault="00E413BB" w:rsidP="00E413BB">
      <w:pPr>
        <w:widowControl/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本規程修正條文自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中華民國一百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年四月十五日施行。</w:t>
      </w:r>
    </w:p>
    <w:p w:rsidR="002762BD" w:rsidRPr="00E413BB" w:rsidRDefault="002762BD"/>
    <w:sectPr w:rsidR="002762BD" w:rsidRPr="00E413BB" w:rsidSect="002762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413BB"/>
    <w:rsid w:val="002762BD"/>
    <w:rsid w:val="00E4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3B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2011-10-13T08:04:00Z</dcterms:created>
  <dcterms:modified xsi:type="dcterms:W3CDTF">2011-10-13T08:04:00Z</dcterms:modified>
</cp:coreProperties>
</file>