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11F" w:rsidRPr="001437C5" w:rsidRDefault="0004411F" w:rsidP="0004411F">
      <w:pPr>
        <w:keepNext/>
        <w:widowControl/>
        <w:jc w:val="center"/>
        <w:outlineLvl w:val="0"/>
        <w:rPr>
          <w:rFonts w:ascii="Times New Roman" w:eastAsia="標楷體" w:hAnsi="Times New Roman" w:cs="Times New Roman"/>
          <w:b/>
          <w:sz w:val="40"/>
          <w:szCs w:val="40"/>
          <w:lang/>
        </w:rPr>
      </w:pPr>
      <w:bookmarkStart w:id="0" w:name="_Toc407194847"/>
      <w:proofErr w:type="spellStart"/>
      <w:r w:rsidRPr="001437C5">
        <w:rPr>
          <w:rFonts w:ascii="Times New Roman" w:eastAsia="標楷體" w:hAnsi="標楷體" w:cs="Times New Roman"/>
          <w:b/>
          <w:sz w:val="40"/>
          <w:szCs w:val="40"/>
          <w:lang/>
        </w:rPr>
        <w:t>臺中市政府附屬單位預算執行注意事項</w:t>
      </w:r>
      <w:bookmarkStart w:id="1" w:name="_GoBack"/>
      <w:bookmarkEnd w:id="0"/>
      <w:bookmarkEnd w:id="1"/>
      <w:proofErr w:type="spellEnd"/>
    </w:p>
    <w:p w:rsidR="0004411F" w:rsidRPr="001437C5" w:rsidRDefault="0004411F" w:rsidP="00E02238">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kern w:val="0"/>
          <w:sz w:val="32"/>
          <w:szCs w:val="32"/>
        </w:rPr>
        <w:t>臺中巿政府（以下簡稱本府）附屬單位預算之執行，除依照直轄市及縣(市)附屬單位預算執行要點（以下簡稱執行要點）及相關規定辦理外，依本注意事項規定辦理。</w:t>
      </w:r>
    </w:p>
    <w:p w:rsidR="00F230AA" w:rsidRPr="001437C5" w:rsidRDefault="0004411F" w:rsidP="004D27F3">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hint="eastAsia"/>
          <w:sz w:val="32"/>
          <w:szCs w:val="32"/>
        </w:rPr>
        <w:t>各基金</w:t>
      </w:r>
      <w:r w:rsidR="005327EE" w:rsidRPr="001437C5">
        <w:rPr>
          <w:rFonts w:ascii="標楷體" w:eastAsia="標楷體" w:hAnsi="標楷體" w:cs="Times New Roman" w:hint="eastAsia"/>
          <w:sz w:val="32"/>
          <w:szCs w:val="32"/>
        </w:rPr>
        <w:t>於年度預算執行</w:t>
      </w:r>
      <w:proofErr w:type="gramStart"/>
      <w:r w:rsidR="005327EE" w:rsidRPr="001437C5">
        <w:rPr>
          <w:rFonts w:ascii="標楷體" w:eastAsia="標楷體" w:hAnsi="標楷體" w:cs="Times New Roman" w:hint="eastAsia"/>
          <w:sz w:val="32"/>
          <w:szCs w:val="32"/>
        </w:rPr>
        <w:t>期間，</w:t>
      </w:r>
      <w:proofErr w:type="gramEnd"/>
      <w:r w:rsidRPr="001437C5">
        <w:rPr>
          <w:rFonts w:ascii="標楷體" w:eastAsia="標楷體" w:hAnsi="標楷體" w:cs="Times New Roman" w:hint="eastAsia"/>
          <w:sz w:val="32"/>
          <w:szCs w:val="32"/>
        </w:rPr>
        <w:t>為</w:t>
      </w:r>
      <w:r w:rsidR="005327EE" w:rsidRPr="001437C5">
        <w:rPr>
          <w:rFonts w:ascii="標楷體" w:eastAsia="標楷體" w:hAnsi="標楷體" w:cs="Times New Roman" w:hint="eastAsia"/>
          <w:sz w:val="32"/>
          <w:szCs w:val="32"/>
        </w:rPr>
        <w:t>配合</w:t>
      </w:r>
      <w:r w:rsidRPr="001437C5">
        <w:rPr>
          <w:rFonts w:ascii="標楷體" w:eastAsia="標楷體" w:hAnsi="標楷體" w:cs="Times New Roman" w:hint="eastAsia"/>
          <w:sz w:val="32"/>
          <w:szCs w:val="32"/>
        </w:rPr>
        <w:t>業務需要調整</w:t>
      </w:r>
      <w:r w:rsidR="00F230AA" w:rsidRPr="001437C5">
        <w:rPr>
          <w:rFonts w:ascii="標楷體" w:eastAsia="標楷體" w:hAnsi="標楷體" w:cs="Times New Roman" w:hint="eastAsia"/>
          <w:sz w:val="32"/>
          <w:szCs w:val="32"/>
        </w:rPr>
        <w:t>之收</w:t>
      </w:r>
      <w:r w:rsidRPr="001437C5">
        <w:rPr>
          <w:rFonts w:ascii="標楷體" w:eastAsia="標楷體" w:hAnsi="標楷體" w:cs="Times New Roman" w:hint="eastAsia"/>
          <w:sz w:val="32"/>
          <w:szCs w:val="32"/>
        </w:rPr>
        <w:t>支，</w:t>
      </w:r>
      <w:r w:rsidR="001437C5">
        <w:rPr>
          <w:rFonts w:ascii="標楷體" w:eastAsia="標楷體" w:hAnsi="標楷體" w:cs="Times New Roman" w:hint="eastAsia"/>
          <w:sz w:val="32"/>
          <w:szCs w:val="32"/>
        </w:rPr>
        <w:t>如</w:t>
      </w:r>
      <w:proofErr w:type="gramStart"/>
      <w:r w:rsidRPr="001437C5">
        <w:rPr>
          <w:rFonts w:ascii="標楷體" w:eastAsia="標楷體" w:hAnsi="標楷體" w:cs="Times New Roman" w:hint="eastAsia"/>
          <w:sz w:val="32"/>
          <w:szCs w:val="32"/>
        </w:rPr>
        <w:t>併</w:t>
      </w:r>
      <w:proofErr w:type="gramEnd"/>
      <w:r w:rsidRPr="001437C5">
        <w:rPr>
          <w:rFonts w:ascii="標楷體" w:eastAsia="標楷體" w:hAnsi="標楷體" w:cs="Times New Roman" w:hint="eastAsia"/>
          <w:sz w:val="32"/>
          <w:szCs w:val="32"/>
        </w:rPr>
        <w:t>年度決算</w:t>
      </w:r>
      <w:r w:rsidR="001437C5">
        <w:rPr>
          <w:rFonts w:ascii="標楷體" w:eastAsia="標楷體" w:hAnsi="標楷體" w:cs="Times New Roman" w:hint="eastAsia"/>
          <w:sz w:val="32"/>
          <w:szCs w:val="32"/>
        </w:rPr>
        <w:t>者</w:t>
      </w:r>
      <w:r w:rsidRPr="001437C5">
        <w:rPr>
          <w:rFonts w:ascii="標楷體" w:eastAsia="標楷體" w:hAnsi="標楷體" w:cs="Times New Roman" w:hint="eastAsia"/>
          <w:sz w:val="32"/>
          <w:szCs w:val="32"/>
        </w:rPr>
        <w:t>，</w:t>
      </w:r>
      <w:r w:rsidR="00F230AA" w:rsidRPr="001437C5">
        <w:rPr>
          <w:rFonts w:ascii="標楷體" w:eastAsia="標楷體" w:hAnsi="標楷體" w:cs="Times New Roman" w:hint="eastAsia"/>
          <w:sz w:val="32"/>
          <w:szCs w:val="32"/>
        </w:rPr>
        <w:t>依下列規定辦理：</w:t>
      </w:r>
    </w:p>
    <w:p w:rsidR="00F230AA" w:rsidRPr="001437C5" w:rsidRDefault="003C341A" w:rsidP="005C4326">
      <w:pPr>
        <w:pStyle w:val="a4"/>
        <w:numPr>
          <w:ilvl w:val="0"/>
          <w:numId w:val="7"/>
        </w:numPr>
        <w:spacing w:line="460" w:lineRule="exact"/>
        <w:ind w:leftChars="0" w:left="1457" w:hanging="737"/>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業權基金</w:t>
      </w:r>
      <w:r w:rsidR="00F230AA" w:rsidRPr="001437C5">
        <w:rPr>
          <w:rFonts w:ascii="標楷體" w:eastAsia="標楷體" w:hAnsi="標楷體" w:cs="Times New Roman" w:hint="eastAsia"/>
          <w:kern w:val="0"/>
          <w:sz w:val="32"/>
          <w:szCs w:val="32"/>
        </w:rPr>
        <w:t>：</w:t>
      </w:r>
      <w:r w:rsidRPr="001437C5">
        <w:rPr>
          <w:rFonts w:ascii="標楷體" w:eastAsia="標楷體" w:hAnsi="標楷體" w:cs="Times New Roman" w:hint="eastAsia"/>
          <w:kern w:val="0"/>
          <w:sz w:val="32"/>
          <w:szCs w:val="32"/>
        </w:rPr>
        <w:t>由各基金</w:t>
      </w:r>
      <w:r w:rsidR="005327EE" w:rsidRPr="001437C5">
        <w:rPr>
          <w:rFonts w:ascii="標楷體" w:eastAsia="標楷體" w:hAnsi="標楷體" w:cs="Times New Roman" w:hint="eastAsia"/>
          <w:kern w:val="0"/>
          <w:sz w:val="32"/>
          <w:szCs w:val="32"/>
        </w:rPr>
        <w:t>自行</w:t>
      </w:r>
      <w:r w:rsidRPr="001437C5">
        <w:rPr>
          <w:rFonts w:ascii="標楷體" w:eastAsia="標楷體" w:hAnsi="標楷體" w:cs="Times New Roman" w:hint="eastAsia"/>
          <w:kern w:val="0"/>
          <w:sz w:val="32"/>
          <w:szCs w:val="32"/>
        </w:rPr>
        <w:t>核定</w:t>
      </w:r>
      <w:r w:rsidR="00BF4E79" w:rsidRPr="001437C5">
        <w:rPr>
          <w:rFonts w:ascii="標楷體" w:eastAsia="標楷體" w:hAnsi="標楷體" w:cs="Times New Roman" w:hint="eastAsia"/>
          <w:kern w:val="0"/>
          <w:sz w:val="32"/>
          <w:szCs w:val="32"/>
        </w:rPr>
        <w:t>，</w:t>
      </w:r>
      <w:r w:rsidRPr="001437C5">
        <w:rPr>
          <w:rFonts w:ascii="標楷體" w:eastAsia="標楷體" w:hAnsi="標楷體" w:cs="Times New Roman" w:hint="eastAsia"/>
          <w:kern w:val="0"/>
          <w:sz w:val="32"/>
          <w:szCs w:val="32"/>
        </w:rPr>
        <w:t>函送主管機關備查</w:t>
      </w:r>
      <w:r w:rsidR="00F230AA" w:rsidRPr="001437C5">
        <w:rPr>
          <w:rFonts w:ascii="標楷體" w:eastAsia="標楷體" w:hAnsi="標楷體" w:cs="Times New Roman"/>
          <w:kern w:val="0"/>
          <w:sz w:val="32"/>
          <w:szCs w:val="32"/>
        </w:rPr>
        <w:t>。</w:t>
      </w:r>
    </w:p>
    <w:p w:rsidR="00F230AA" w:rsidRPr="001437C5" w:rsidRDefault="003C341A" w:rsidP="00F230AA">
      <w:pPr>
        <w:pStyle w:val="a4"/>
        <w:numPr>
          <w:ilvl w:val="0"/>
          <w:numId w:val="7"/>
        </w:numPr>
        <w:spacing w:line="460" w:lineRule="exact"/>
        <w:ind w:leftChars="0" w:left="1457" w:hanging="737"/>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政事基金</w:t>
      </w:r>
      <w:r w:rsidR="00F230AA" w:rsidRPr="001437C5">
        <w:rPr>
          <w:rFonts w:ascii="標楷體" w:eastAsia="標楷體" w:hAnsi="標楷體" w:cs="Times New Roman" w:hint="eastAsia"/>
          <w:kern w:val="0"/>
          <w:sz w:val="32"/>
          <w:szCs w:val="32"/>
        </w:rPr>
        <w:t>：</w:t>
      </w:r>
      <w:r w:rsidRPr="001437C5">
        <w:rPr>
          <w:rFonts w:ascii="標楷體" w:eastAsia="標楷體" w:hAnsi="標楷體" w:cs="Times New Roman" w:hint="eastAsia"/>
          <w:kern w:val="0"/>
          <w:sz w:val="32"/>
          <w:szCs w:val="32"/>
        </w:rPr>
        <w:t>由各基金主管機關核定</w:t>
      </w:r>
      <w:r w:rsidR="00F230AA" w:rsidRPr="001437C5">
        <w:rPr>
          <w:rFonts w:ascii="標楷體" w:eastAsia="標楷體" w:hAnsi="標楷體" w:cs="Times New Roman" w:hint="eastAsia"/>
          <w:kern w:val="0"/>
          <w:sz w:val="32"/>
          <w:szCs w:val="32"/>
        </w:rPr>
        <w:t>。</w:t>
      </w:r>
    </w:p>
    <w:p w:rsidR="0004411F" w:rsidRPr="001437C5" w:rsidRDefault="0004411F" w:rsidP="00510716">
      <w:pPr>
        <w:pStyle w:val="a4"/>
        <w:numPr>
          <w:ilvl w:val="0"/>
          <w:numId w:val="7"/>
        </w:numPr>
        <w:spacing w:line="460" w:lineRule="exact"/>
        <w:ind w:leftChars="0" w:left="1457" w:hanging="737"/>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每筆</w:t>
      </w:r>
      <w:proofErr w:type="gramStart"/>
      <w:r w:rsidRPr="001437C5">
        <w:rPr>
          <w:rFonts w:ascii="標楷體" w:eastAsia="標楷體" w:hAnsi="標楷體" w:cs="Times New Roman" w:hint="eastAsia"/>
          <w:kern w:val="0"/>
          <w:sz w:val="32"/>
          <w:szCs w:val="32"/>
        </w:rPr>
        <w:t>併</w:t>
      </w:r>
      <w:proofErr w:type="gramEnd"/>
      <w:r w:rsidRPr="001437C5">
        <w:rPr>
          <w:rFonts w:ascii="標楷體" w:eastAsia="標楷體" w:hAnsi="標楷體" w:cs="Times New Roman" w:hint="eastAsia"/>
          <w:kern w:val="0"/>
          <w:sz w:val="32"/>
          <w:szCs w:val="32"/>
        </w:rPr>
        <w:t>決算項目</w:t>
      </w:r>
      <w:proofErr w:type="gramStart"/>
      <w:r w:rsidRPr="001437C5">
        <w:rPr>
          <w:rFonts w:ascii="標楷體" w:eastAsia="標楷體" w:hAnsi="標楷體" w:cs="Times New Roman" w:hint="eastAsia"/>
          <w:kern w:val="0"/>
          <w:sz w:val="32"/>
          <w:szCs w:val="32"/>
        </w:rPr>
        <w:t>數額逾新臺幣</w:t>
      </w:r>
      <w:proofErr w:type="gramEnd"/>
      <w:r w:rsidRPr="001437C5">
        <w:rPr>
          <w:rFonts w:ascii="標楷體" w:eastAsia="標楷體" w:hAnsi="標楷體" w:cs="Times New Roman" w:hint="eastAsia"/>
          <w:kern w:val="0"/>
          <w:sz w:val="32"/>
          <w:szCs w:val="32"/>
        </w:rPr>
        <w:t>五千萬元以上者，應專案報經主管機關核轉本府核准。</w:t>
      </w:r>
    </w:p>
    <w:p w:rsidR="0004411F" w:rsidRPr="001437C5" w:rsidRDefault="001437C5" w:rsidP="00510716">
      <w:pPr>
        <w:pStyle w:val="a4"/>
        <w:numPr>
          <w:ilvl w:val="0"/>
          <w:numId w:val="7"/>
        </w:numPr>
        <w:spacing w:line="460" w:lineRule="exact"/>
        <w:ind w:leftChars="0" w:left="1457" w:hanging="737"/>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各基金</w:t>
      </w:r>
      <w:r>
        <w:rPr>
          <w:rFonts w:ascii="標楷體" w:eastAsia="標楷體" w:hAnsi="標楷體" w:cs="Times New Roman" w:hint="eastAsia"/>
          <w:kern w:val="0"/>
          <w:sz w:val="32"/>
          <w:szCs w:val="32"/>
        </w:rPr>
        <w:t>或主管機關</w:t>
      </w:r>
      <w:r w:rsidR="0004411F" w:rsidRPr="001437C5">
        <w:rPr>
          <w:rFonts w:ascii="標楷體" w:eastAsia="標楷體" w:hAnsi="標楷體" w:cs="Times New Roman" w:hint="eastAsia"/>
          <w:sz w:val="32"/>
          <w:szCs w:val="32"/>
        </w:rPr>
        <w:t>核定時，應注意各該基金之財源，及其由盈（</w:t>
      </w:r>
      <w:proofErr w:type="gramStart"/>
      <w:r w:rsidR="0004411F" w:rsidRPr="001437C5">
        <w:rPr>
          <w:rFonts w:ascii="標楷體" w:eastAsia="標楷體" w:hAnsi="標楷體" w:cs="Times New Roman" w:hint="eastAsia"/>
          <w:sz w:val="32"/>
          <w:szCs w:val="32"/>
        </w:rPr>
        <w:t>賸</w:t>
      </w:r>
      <w:proofErr w:type="gramEnd"/>
      <w:r w:rsidR="0004411F" w:rsidRPr="001437C5">
        <w:rPr>
          <w:rFonts w:ascii="標楷體" w:eastAsia="標楷體" w:hAnsi="標楷體" w:cs="Times New Roman" w:hint="eastAsia"/>
          <w:sz w:val="32"/>
          <w:szCs w:val="32"/>
        </w:rPr>
        <w:t>）餘轉為虧損（短</w:t>
      </w:r>
      <w:proofErr w:type="gramStart"/>
      <w:r w:rsidR="0004411F" w:rsidRPr="001437C5">
        <w:rPr>
          <w:rFonts w:ascii="標楷體" w:eastAsia="標楷體" w:hAnsi="標楷體" w:cs="Times New Roman" w:hint="eastAsia"/>
          <w:sz w:val="32"/>
          <w:szCs w:val="32"/>
        </w:rPr>
        <w:t>絀</w:t>
      </w:r>
      <w:proofErr w:type="gramEnd"/>
      <w:r w:rsidR="0004411F" w:rsidRPr="001437C5">
        <w:rPr>
          <w:rFonts w:ascii="標楷體" w:eastAsia="標楷體" w:hAnsi="標楷體" w:cs="Times New Roman" w:hint="eastAsia"/>
          <w:sz w:val="32"/>
          <w:szCs w:val="32"/>
        </w:rPr>
        <w:t>）之情形</w:t>
      </w:r>
      <w:r>
        <w:rPr>
          <w:rFonts w:ascii="標楷體" w:eastAsia="標楷體" w:hAnsi="標楷體" w:cs="Times New Roman" w:hint="eastAsia"/>
          <w:sz w:val="32"/>
          <w:szCs w:val="32"/>
        </w:rPr>
        <w:t>；</w:t>
      </w:r>
      <w:r w:rsidR="0004411F" w:rsidRPr="001437C5">
        <w:rPr>
          <w:rFonts w:ascii="標楷體" w:eastAsia="標楷體" w:hAnsi="標楷體" w:cs="Times New Roman" w:hint="eastAsia"/>
          <w:sz w:val="32"/>
          <w:szCs w:val="32"/>
        </w:rPr>
        <w:t>主管機關嗣後應妥為督促，審慎考量業務實際需求</w:t>
      </w:r>
      <w:proofErr w:type="gramStart"/>
      <w:r w:rsidR="0004411F" w:rsidRPr="001437C5">
        <w:rPr>
          <w:rFonts w:ascii="標楷體" w:eastAsia="標楷體" w:hAnsi="標楷體" w:cs="Times New Roman" w:hint="eastAsia"/>
          <w:sz w:val="32"/>
          <w:szCs w:val="32"/>
        </w:rPr>
        <w:t>循</w:t>
      </w:r>
      <w:proofErr w:type="gramEnd"/>
      <w:r w:rsidR="0004411F" w:rsidRPr="001437C5">
        <w:rPr>
          <w:rFonts w:ascii="標楷體" w:eastAsia="標楷體" w:hAnsi="標楷體" w:cs="Times New Roman" w:hint="eastAsia"/>
          <w:sz w:val="32"/>
          <w:szCs w:val="32"/>
        </w:rPr>
        <w:t>預算程序辦理。</w:t>
      </w:r>
    </w:p>
    <w:p w:rsidR="004964C6" w:rsidRPr="001437C5" w:rsidRDefault="004964C6" w:rsidP="00E02238">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各基金應依預算及收支估計表切實嚴格執行，並依照下列規定辦理：</w:t>
      </w:r>
    </w:p>
    <w:p w:rsidR="0004411F" w:rsidRPr="001437C5" w:rsidRDefault="0004411F" w:rsidP="00F230AA">
      <w:pPr>
        <w:pStyle w:val="a4"/>
        <w:numPr>
          <w:ilvl w:val="0"/>
          <w:numId w:val="12"/>
        </w:numPr>
        <w:spacing w:line="460" w:lineRule="exact"/>
        <w:ind w:leftChars="0" w:left="1457" w:hanging="737"/>
        <w:jc w:val="both"/>
        <w:rPr>
          <w:rFonts w:ascii="標楷體" w:eastAsia="標楷體" w:hAnsi="標楷體" w:cs="Times New Roman"/>
          <w:kern w:val="0"/>
          <w:sz w:val="32"/>
          <w:szCs w:val="32"/>
        </w:rPr>
      </w:pPr>
      <w:r w:rsidRPr="001437C5">
        <w:rPr>
          <w:rFonts w:ascii="標楷體" w:eastAsia="標楷體" w:hAnsi="標楷體" w:cs="Times New Roman"/>
          <w:kern w:val="0"/>
          <w:sz w:val="32"/>
          <w:szCs w:val="32"/>
        </w:rPr>
        <w:t>購建固定資產內，購置業務用之公務轎車、旅行車、客貨兩用車、吉普車及各型交通車，</w:t>
      </w:r>
      <w:proofErr w:type="gramStart"/>
      <w:r w:rsidRPr="001437C5">
        <w:rPr>
          <w:rFonts w:ascii="標楷體" w:eastAsia="標楷體" w:hAnsi="標楷體" w:cs="Times New Roman"/>
          <w:kern w:val="0"/>
          <w:sz w:val="32"/>
          <w:szCs w:val="32"/>
        </w:rPr>
        <w:t>準</w:t>
      </w:r>
      <w:proofErr w:type="gramEnd"/>
      <w:r w:rsidRPr="001437C5">
        <w:rPr>
          <w:rFonts w:ascii="標楷體" w:eastAsia="標楷體" w:hAnsi="標楷體" w:cs="Times New Roman"/>
          <w:kern w:val="0"/>
          <w:sz w:val="32"/>
          <w:szCs w:val="32"/>
        </w:rPr>
        <w:t>用執行要點第十一點有關購置管理用公務車輛規定辦理。</w:t>
      </w:r>
    </w:p>
    <w:p w:rsidR="004964C6" w:rsidRPr="001437C5" w:rsidRDefault="004964C6" w:rsidP="00F230AA">
      <w:pPr>
        <w:pStyle w:val="a4"/>
        <w:numPr>
          <w:ilvl w:val="0"/>
          <w:numId w:val="12"/>
        </w:numPr>
        <w:spacing w:line="460" w:lineRule="exact"/>
        <w:ind w:leftChars="0" w:left="1457" w:hanging="737"/>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公共關係費之列支，應受法定預算之限制；其中屬特別費性質之支用，應切實依行政院</w:t>
      </w:r>
      <w:r w:rsidR="00ED738D" w:rsidRPr="001437C5">
        <w:rPr>
          <w:rFonts w:ascii="標楷體" w:eastAsia="標楷體" w:hAnsi="標楷體" w:cs="Times New Roman" w:hint="eastAsia"/>
          <w:kern w:val="0"/>
          <w:sz w:val="32"/>
          <w:szCs w:val="32"/>
        </w:rPr>
        <w:t>所訂</w:t>
      </w:r>
      <w:r w:rsidRPr="001437C5">
        <w:rPr>
          <w:rFonts w:ascii="標楷體" w:eastAsia="標楷體" w:hAnsi="標楷體" w:cs="Times New Roman" w:hint="eastAsia"/>
          <w:kern w:val="0"/>
          <w:sz w:val="32"/>
          <w:szCs w:val="32"/>
        </w:rPr>
        <w:t>頒支用規定</w:t>
      </w:r>
      <w:proofErr w:type="gramStart"/>
      <w:r w:rsidRPr="001437C5">
        <w:rPr>
          <w:rFonts w:ascii="標楷體" w:eastAsia="標楷體" w:hAnsi="標楷體" w:cs="Times New Roman" w:hint="eastAsia"/>
          <w:kern w:val="0"/>
          <w:sz w:val="32"/>
          <w:szCs w:val="32"/>
        </w:rPr>
        <w:t>覈</w:t>
      </w:r>
      <w:proofErr w:type="gramEnd"/>
      <w:r w:rsidRPr="001437C5">
        <w:rPr>
          <w:rFonts w:ascii="標楷體" w:eastAsia="標楷體" w:hAnsi="標楷體" w:cs="Times New Roman" w:hint="eastAsia"/>
          <w:kern w:val="0"/>
          <w:sz w:val="32"/>
          <w:szCs w:val="32"/>
        </w:rPr>
        <w:t>實辦理，不得超支。</w:t>
      </w:r>
    </w:p>
    <w:p w:rsidR="0004411F" w:rsidRPr="001437C5" w:rsidRDefault="0004411F" w:rsidP="00E02238">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長期投資、長期應收款</w:t>
      </w:r>
      <w:r w:rsidR="004964C6" w:rsidRPr="001437C5">
        <w:rPr>
          <w:rFonts w:ascii="標楷體" w:eastAsia="標楷體" w:hAnsi="標楷體" w:cs="Times New Roman" w:hint="eastAsia"/>
          <w:kern w:val="0"/>
          <w:sz w:val="32"/>
          <w:szCs w:val="32"/>
        </w:rPr>
        <w:t>及長期貸款</w:t>
      </w:r>
      <w:r w:rsidRPr="001437C5">
        <w:rPr>
          <w:rFonts w:ascii="標楷體" w:eastAsia="標楷體" w:hAnsi="標楷體" w:cs="Times New Roman" w:hint="eastAsia"/>
          <w:kern w:val="0"/>
          <w:sz w:val="32"/>
          <w:szCs w:val="32"/>
        </w:rPr>
        <w:t>之執行，應依下列規定辦理：</w:t>
      </w:r>
    </w:p>
    <w:p w:rsidR="0004411F" w:rsidRPr="001437C5" w:rsidRDefault="0004411F" w:rsidP="004964C6">
      <w:pPr>
        <w:pStyle w:val="a4"/>
        <w:numPr>
          <w:ilvl w:val="0"/>
          <w:numId w:val="10"/>
        </w:numPr>
        <w:spacing w:line="460" w:lineRule="exact"/>
        <w:ind w:leftChars="0" w:left="1457" w:hanging="737"/>
        <w:jc w:val="both"/>
        <w:rPr>
          <w:rFonts w:ascii="標楷體" w:eastAsia="標楷體" w:hAnsi="標楷體"/>
          <w:sz w:val="32"/>
          <w:szCs w:val="32"/>
        </w:rPr>
      </w:pPr>
      <w:r w:rsidRPr="001437C5">
        <w:rPr>
          <w:rFonts w:ascii="標楷體" w:eastAsia="標楷體" w:hAnsi="標楷體" w:hint="eastAsia"/>
          <w:sz w:val="32"/>
          <w:szCs w:val="32"/>
        </w:rPr>
        <w:t>於年度預算執行</w:t>
      </w:r>
      <w:proofErr w:type="gramStart"/>
      <w:r w:rsidRPr="001437C5">
        <w:rPr>
          <w:rFonts w:ascii="標楷體" w:eastAsia="標楷體" w:hAnsi="標楷體" w:hint="eastAsia"/>
          <w:sz w:val="32"/>
          <w:szCs w:val="32"/>
        </w:rPr>
        <w:t>期間，原未</w:t>
      </w:r>
      <w:proofErr w:type="gramEnd"/>
      <w:r w:rsidRPr="001437C5">
        <w:rPr>
          <w:rFonts w:ascii="標楷體" w:eastAsia="標楷體" w:hAnsi="標楷體" w:hint="eastAsia"/>
          <w:sz w:val="32"/>
          <w:szCs w:val="32"/>
        </w:rPr>
        <w:t>編列預算或預算編列不足支應之項目，因經營環境發生重大變遷或正常業務之確實需要，必須於當年度辦理者，得在同一計畫已列預算總額內調整。</w:t>
      </w:r>
    </w:p>
    <w:p w:rsidR="0004411F" w:rsidRPr="001437C5" w:rsidRDefault="0004411F" w:rsidP="004964C6">
      <w:pPr>
        <w:pStyle w:val="a4"/>
        <w:numPr>
          <w:ilvl w:val="0"/>
          <w:numId w:val="10"/>
        </w:numPr>
        <w:spacing w:line="460" w:lineRule="exact"/>
        <w:ind w:leftChars="0" w:left="1457" w:hanging="737"/>
        <w:jc w:val="both"/>
        <w:rPr>
          <w:rFonts w:ascii="標楷體" w:eastAsia="標楷體" w:hAnsi="標楷體"/>
          <w:sz w:val="32"/>
          <w:szCs w:val="32"/>
        </w:rPr>
      </w:pPr>
      <w:r w:rsidRPr="001437C5">
        <w:rPr>
          <w:rFonts w:ascii="標楷體" w:eastAsia="標楷體" w:hAnsi="標楷體" w:hint="eastAsia"/>
          <w:sz w:val="32"/>
          <w:szCs w:val="32"/>
        </w:rPr>
        <w:t>預算未及於當年度執行，確有保留之必要者，</w:t>
      </w:r>
      <w:proofErr w:type="gramStart"/>
      <w:r w:rsidRPr="001437C5">
        <w:rPr>
          <w:rFonts w:ascii="標楷體" w:eastAsia="標楷體" w:hAnsi="標楷體" w:hint="eastAsia"/>
          <w:sz w:val="32"/>
          <w:szCs w:val="32"/>
        </w:rPr>
        <w:t>準</w:t>
      </w:r>
      <w:proofErr w:type="gramEnd"/>
      <w:r w:rsidRPr="001437C5">
        <w:rPr>
          <w:rFonts w:ascii="標楷體" w:eastAsia="標楷體" w:hAnsi="標楷體" w:hint="eastAsia"/>
          <w:sz w:val="32"/>
          <w:szCs w:val="32"/>
        </w:rPr>
        <w:t>用執</w:t>
      </w:r>
      <w:r w:rsidRPr="001437C5">
        <w:rPr>
          <w:rFonts w:ascii="標楷體" w:eastAsia="標楷體" w:hAnsi="標楷體" w:hint="eastAsia"/>
          <w:sz w:val="32"/>
          <w:szCs w:val="32"/>
        </w:rPr>
        <w:lastRenderedPageBreak/>
        <w:t>行要點第十一點第六款規定辦理。</w:t>
      </w:r>
    </w:p>
    <w:p w:rsidR="0004411F" w:rsidRPr="001437C5" w:rsidRDefault="0004411F" w:rsidP="00E02238">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kern w:val="0"/>
          <w:sz w:val="32"/>
          <w:szCs w:val="32"/>
        </w:rPr>
        <w:t>下列項目之執行，非專案報經主管機關核轉本府核准，不得辦理：</w:t>
      </w:r>
    </w:p>
    <w:p w:rsidR="0004411F" w:rsidRPr="001437C5" w:rsidRDefault="0004411F" w:rsidP="00E52488">
      <w:pPr>
        <w:pStyle w:val="a4"/>
        <w:numPr>
          <w:ilvl w:val="0"/>
          <w:numId w:val="9"/>
        </w:numPr>
        <w:spacing w:line="460" w:lineRule="exact"/>
        <w:ind w:leftChars="0" w:left="1457" w:hanging="737"/>
        <w:jc w:val="both"/>
        <w:rPr>
          <w:rFonts w:ascii="標楷體" w:eastAsia="標楷體" w:hAnsi="標楷體"/>
          <w:sz w:val="32"/>
          <w:szCs w:val="32"/>
        </w:rPr>
      </w:pPr>
      <w:r w:rsidRPr="001437C5">
        <w:rPr>
          <w:rFonts w:ascii="標楷體" w:eastAsia="標楷體" w:hAnsi="標楷體"/>
          <w:sz w:val="32"/>
          <w:szCs w:val="32"/>
        </w:rPr>
        <w:t>各基金組織員額，因實際需要，須超出法定預算員額用人者。</w:t>
      </w:r>
    </w:p>
    <w:p w:rsidR="0004411F" w:rsidRPr="001437C5" w:rsidRDefault="0004411F" w:rsidP="00E52488">
      <w:pPr>
        <w:pStyle w:val="a4"/>
        <w:numPr>
          <w:ilvl w:val="0"/>
          <w:numId w:val="9"/>
        </w:numPr>
        <w:spacing w:line="460" w:lineRule="exact"/>
        <w:ind w:leftChars="0" w:left="1457" w:hanging="737"/>
        <w:jc w:val="both"/>
        <w:rPr>
          <w:rFonts w:ascii="標楷體" w:eastAsia="標楷體" w:hAnsi="標楷體"/>
          <w:sz w:val="32"/>
          <w:szCs w:val="32"/>
        </w:rPr>
      </w:pPr>
      <w:r w:rsidRPr="001437C5">
        <w:rPr>
          <w:rFonts w:ascii="標楷體" w:eastAsia="標楷體" w:hAnsi="標楷體"/>
          <w:sz w:val="32"/>
          <w:szCs w:val="32"/>
        </w:rPr>
        <w:t>傷病醫藥費、文康活動費、福利互助費、其他福利費、服裝費等訂有統一標準之預算項目，因實際需要，須調整標準者。</w:t>
      </w:r>
    </w:p>
    <w:p w:rsidR="0004411F" w:rsidRPr="001437C5" w:rsidRDefault="0004411F" w:rsidP="00E52488">
      <w:pPr>
        <w:pStyle w:val="a4"/>
        <w:numPr>
          <w:ilvl w:val="0"/>
          <w:numId w:val="9"/>
        </w:numPr>
        <w:spacing w:line="460" w:lineRule="exact"/>
        <w:ind w:leftChars="0" w:left="1457" w:hanging="737"/>
        <w:jc w:val="both"/>
        <w:rPr>
          <w:rFonts w:ascii="標楷體" w:eastAsia="標楷體" w:hAnsi="標楷體"/>
          <w:sz w:val="32"/>
          <w:szCs w:val="32"/>
        </w:rPr>
      </w:pPr>
      <w:r w:rsidRPr="001437C5">
        <w:rPr>
          <w:rFonts w:ascii="標楷體" w:eastAsia="標楷體" w:hAnsi="標楷體"/>
          <w:sz w:val="32"/>
          <w:szCs w:val="32"/>
        </w:rPr>
        <w:t>出國、研究發展、約聘（</w:t>
      </w:r>
      <w:proofErr w:type="gramStart"/>
      <w:r w:rsidRPr="001437C5">
        <w:rPr>
          <w:rFonts w:ascii="標楷體" w:eastAsia="標楷體" w:hAnsi="標楷體"/>
          <w:sz w:val="32"/>
          <w:szCs w:val="32"/>
        </w:rPr>
        <w:t>僱</w:t>
      </w:r>
      <w:proofErr w:type="gramEnd"/>
      <w:r w:rsidRPr="001437C5">
        <w:rPr>
          <w:rFonts w:ascii="標楷體" w:eastAsia="標楷體" w:hAnsi="標楷體"/>
          <w:sz w:val="32"/>
          <w:szCs w:val="32"/>
        </w:rPr>
        <w:t>）及臨時人員計畫、志工服務計畫，其原核定計畫須修正或辦理新增者。</w:t>
      </w:r>
    </w:p>
    <w:p w:rsidR="0004411F" w:rsidRPr="001437C5" w:rsidRDefault="0004411F" w:rsidP="00E52488">
      <w:pPr>
        <w:pStyle w:val="a4"/>
        <w:numPr>
          <w:ilvl w:val="0"/>
          <w:numId w:val="9"/>
        </w:numPr>
        <w:spacing w:line="460" w:lineRule="exact"/>
        <w:ind w:leftChars="0" w:left="1457" w:hanging="737"/>
        <w:jc w:val="both"/>
        <w:rPr>
          <w:rFonts w:ascii="標楷體" w:eastAsia="標楷體" w:hAnsi="標楷體"/>
          <w:sz w:val="32"/>
          <w:szCs w:val="32"/>
        </w:rPr>
      </w:pPr>
      <w:r w:rsidRPr="001437C5">
        <w:rPr>
          <w:rFonts w:ascii="標楷體" w:eastAsia="標楷體" w:hAnsi="標楷體"/>
          <w:sz w:val="32"/>
          <w:szCs w:val="32"/>
        </w:rPr>
        <w:t>年度預算執行</w:t>
      </w:r>
      <w:proofErr w:type="gramStart"/>
      <w:r w:rsidRPr="001437C5">
        <w:rPr>
          <w:rFonts w:ascii="標楷體" w:eastAsia="標楷體" w:hAnsi="標楷體"/>
          <w:sz w:val="32"/>
          <w:szCs w:val="32"/>
        </w:rPr>
        <w:t>期間，</w:t>
      </w:r>
      <w:proofErr w:type="gramEnd"/>
      <w:r w:rsidRPr="001437C5">
        <w:rPr>
          <w:rFonts w:ascii="標楷體" w:eastAsia="標楷體" w:hAnsi="標楷體"/>
          <w:sz w:val="32"/>
          <w:szCs w:val="32"/>
        </w:rPr>
        <w:t>須新增或租約到期繼續租用辦公廳舍，應</w:t>
      </w:r>
      <w:proofErr w:type="gramStart"/>
      <w:r w:rsidRPr="001437C5">
        <w:rPr>
          <w:rFonts w:ascii="標楷體" w:eastAsia="標楷體" w:hAnsi="標楷體"/>
          <w:sz w:val="32"/>
          <w:szCs w:val="32"/>
        </w:rPr>
        <w:t>先洽本府</w:t>
      </w:r>
      <w:proofErr w:type="gramEnd"/>
      <w:r w:rsidRPr="001437C5">
        <w:rPr>
          <w:rFonts w:ascii="標楷體" w:eastAsia="標楷體" w:hAnsi="標楷體"/>
          <w:sz w:val="32"/>
          <w:szCs w:val="32"/>
        </w:rPr>
        <w:t>財政局，確定無適用房舍時，始得依規定辦理租用。</w:t>
      </w:r>
    </w:p>
    <w:p w:rsidR="00145791" w:rsidRPr="001437C5" w:rsidRDefault="00145791" w:rsidP="00E02238">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hint="eastAsia"/>
          <w:kern w:val="0"/>
          <w:sz w:val="32"/>
          <w:szCs w:val="32"/>
        </w:rPr>
        <w:t>下列項目之執行，應專案報經主管機關核轉</w:t>
      </w:r>
      <w:proofErr w:type="gramStart"/>
      <w:r w:rsidRPr="001437C5">
        <w:rPr>
          <w:rFonts w:ascii="標楷體" w:eastAsia="標楷體" w:hAnsi="標楷體" w:cs="Times New Roman" w:hint="eastAsia"/>
          <w:kern w:val="0"/>
          <w:sz w:val="32"/>
          <w:szCs w:val="32"/>
        </w:rPr>
        <w:t>本府經提</w:t>
      </w:r>
      <w:proofErr w:type="gramEnd"/>
      <w:r w:rsidRPr="001437C5">
        <w:rPr>
          <w:rFonts w:ascii="標楷體" w:eastAsia="標楷體" w:hAnsi="標楷體" w:cs="Times New Roman" w:hint="eastAsia"/>
          <w:kern w:val="0"/>
          <w:sz w:val="32"/>
          <w:szCs w:val="32"/>
        </w:rPr>
        <w:t>本府預算審查委員會核准，始得辦理：</w:t>
      </w:r>
    </w:p>
    <w:p w:rsidR="00145791" w:rsidRPr="001437C5" w:rsidRDefault="00145791" w:rsidP="004964C6">
      <w:pPr>
        <w:pStyle w:val="a4"/>
        <w:numPr>
          <w:ilvl w:val="0"/>
          <w:numId w:val="11"/>
        </w:numPr>
        <w:spacing w:line="460" w:lineRule="exact"/>
        <w:ind w:leftChars="0" w:left="1457" w:hanging="737"/>
        <w:jc w:val="both"/>
        <w:rPr>
          <w:rFonts w:ascii="標楷體" w:eastAsia="標楷體" w:hAnsi="標楷體"/>
          <w:sz w:val="32"/>
          <w:szCs w:val="32"/>
        </w:rPr>
      </w:pPr>
      <w:r w:rsidRPr="001437C5">
        <w:rPr>
          <w:rFonts w:ascii="標楷體" w:eastAsia="標楷體" w:hAnsi="標楷體" w:hint="eastAsia"/>
          <w:sz w:val="32"/>
          <w:szCs w:val="32"/>
        </w:rPr>
        <w:t>捐助與補助費如因業務實際需要，而有未及編列之新增計畫；或原編計畫預算不足支應，經檢討無法於預算總額內容納者。</w:t>
      </w:r>
    </w:p>
    <w:p w:rsidR="00145791" w:rsidRPr="001437C5" w:rsidRDefault="00145791" w:rsidP="004964C6">
      <w:pPr>
        <w:pStyle w:val="a4"/>
        <w:numPr>
          <w:ilvl w:val="0"/>
          <w:numId w:val="11"/>
        </w:numPr>
        <w:spacing w:line="460" w:lineRule="exact"/>
        <w:ind w:leftChars="0" w:left="1457" w:hanging="737"/>
        <w:jc w:val="both"/>
        <w:rPr>
          <w:rFonts w:ascii="標楷體" w:eastAsia="標楷體" w:hAnsi="標楷體"/>
          <w:sz w:val="32"/>
          <w:szCs w:val="32"/>
        </w:rPr>
      </w:pPr>
      <w:r w:rsidRPr="001437C5">
        <w:rPr>
          <w:rFonts w:ascii="標楷體" w:eastAsia="標楷體" w:hAnsi="標楷體" w:hint="eastAsia"/>
          <w:sz w:val="32"/>
          <w:szCs w:val="32"/>
        </w:rPr>
        <w:t>長期投資、長期應收款</w:t>
      </w:r>
      <w:r w:rsidR="0047568E" w:rsidRPr="001437C5">
        <w:rPr>
          <w:rFonts w:ascii="標楷體" w:eastAsia="標楷體" w:hAnsi="標楷體" w:cs="Times New Roman" w:hint="eastAsia"/>
          <w:kern w:val="0"/>
          <w:sz w:val="32"/>
          <w:szCs w:val="32"/>
        </w:rPr>
        <w:t>及長期貸款</w:t>
      </w:r>
      <w:r w:rsidRPr="001437C5">
        <w:rPr>
          <w:rFonts w:ascii="標楷體" w:eastAsia="標楷體" w:hAnsi="標楷體" w:hint="eastAsia"/>
          <w:sz w:val="32"/>
          <w:szCs w:val="32"/>
        </w:rPr>
        <w:t>等預算科目，</w:t>
      </w:r>
      <w:proofErr w:type="gramStart"/>
      <w:r w:rsidRPr="001437C5">
        <w:rPr>
          <w:rFonts w:ascii="標楷體" w:eastAsia="標楷體" w:hAnsi="標楷體" w:hint="eastAsia"/>
          <w:sz w:val="32"/>
          <w:szCs w:val="32"/>
        </w:rPr>
        <w:t>原未編列</w:t>
      </w:r>
      <w:proofErr w:type="gramEnd"/>
      <w:r w:rsidRPr="001437C5">
        <w:rPr>
          <w:rFonts w:ascii="標楷體" w:eastAsia="標楷體" w:hAnsi="標楷體" w:hint="eastAsia"/>
          <w:sz w:val="32"/>
          <w:szCs w:val="32"/>
        </w:rPr>
        <w:t>預算或預算編列不足支應之項目，因業務實際需要須超出同一計畫已列預算總額者。</w:t>
      </w:r>
    </w:p>
    <w:p w:rsidR="00145791" w:rsidRPr="001437C5" w:rsidRDefault="00145791" w:rsidP="004964C6">
      <w:pPr>
        <w:pStyle w:val="a4"/>
        <w:numPr>
          <w:ilvl w:val="0"/>
          <w:numId w:val="11"/>
        </w:numPr>
        <w:spacing w:line="460" w:lineRule="exact"/>
        <w:ind w:leftChars="0" w:left="1457" w:hanging="737"/>
        <w:jc w:val="both"/>
        <w:rPr>
          <w:rFonts w:ascii="標楷體" w:eastAsia="標楷體" w:hAnsi="標楷體"/>
          <w:sz w:val="32"/>
          <w:szCs w:val="32"/>
        </w:rPr>
      </w:pPr>
      <w:r w:rsidRPr="001437C5">
        <w:rPr>
          <w:rFonts w:ascii="標楷體" w:eastAsia="標楷體" w:hAnsi="標楷體" w:hint="eastAsia"/>
          <w:sz w:val="32"/>
          <w:szCs w:val="32"/>
        </w:rPr>
        <w:t>固定資產建設改良擴充、資金轉投資及處分、長期債務舉借及償還、資產變賣之執行之補辦預算。</w:t>
      </w:r>
    </w:p>
    <w:p w:rsidR="00145791" w:rsidRPr="001437C5" w:rsidRDefault="00145791" w:rsidP="004964C6">
      <w:pPr>
        <w:pStyle w:val="a4"/>
        <w:numPr>
          <w:ilvl w:val="0"/>
          <w:numId w:val="11"/>
        </w:numPr>
        <w:spacing w:line="460" w:lineRule="exact"/>
        <w:ind w:leftChars="0" w:left="1457" w:hanging="737"/>
        <w:jc w:val="both"/>
        <w:rPr>
          <w:rFonts w:ascii="標楷體" w:eastAsia="標楷體" w:hAnsi="標楷體"/>
          <w:sz w:val="32"/>
          <w:szCs w:val="32"/>
        </w:rPr>
      </w:pPr>
      <w:r w:rsidRPr="001437C5">
        <w:rPr>
          <w:rFonts w:ascii="標楷體" w:eastAsia="標楷體" w:hAnsi="標楷體" w:hint="eastAsia"/>
          <w:sz w:val="32"/>
          <w:szCs w:val="32"/>
        </w:rPr>
        <w:t>地方教育發展基金動支教育局統籌控管賸餘款之非留存項目。</w:t>
      </w:r>
    </w:p>
    <w:p w:rsidR="00145791" w:rsidRPr="001437C5" w:rsidRDefault="004964C6" w:rsidP="00E02238">
      <w:pPr>
        <w:pStyle w:val="a3"/>
        <w:spacing w:line="460" w:lineRule="exact"/>
        <w:ind w:left="624" w:firstLineChars="0" w:firstLine="0"/>
        <w:rPr>
          <w:sz w:val="32"/>
          <w:szCs w:val="32"/>
        </w:rPr>
      </w:pPr>
      <w:r w:rsidRPr="001437C5">
        <w:rPr>
          <w:rFonts w:hint="eastAsia"/>
          <w:sz w:val="32"/>
          <w:szCs w:val="32"/>
        </w:rPr>
        <w:t>各基金</w:t>
      </w:r>
      <w:r w:rsidR="00145791" w:rsidRPr="001437C5">
        <w:rPr>
          <w:rFonts w:hint="eastAsia"/>
          <w:sz w:val="32"/>
          <w:szCs w:val="32"/>
        </w:rPr>
        <w:t>應依本府預算審查委員會決議填具超支數額表及補辦預算數額表，送由基金主管機關核定。</w:t>
      </w:r>
    </w:p>
    <w:p w:rsidR="00145791" w:rsidRPr="001437C5" w:rsidRDefault="00145791" w:rsidP="00E02238">
      <w:pPr>
        <w:pStyle w:val="a3"/>
        <w:spacing w:line="460" w:lineRule="exact"/>
        <w:ind w:left="624" w:firstLineChars="0" w:firstLine="0"/>
        <w:rPr>
          <w:sz w:val="32"/>
          <w:szCs w:val="32"/>
        </w:rPr>
      </w:pPr>
      <w:r w:rsidRPr="001437C5">
        <w:rPr>
          <w:rFonts w:hint="eastAsia"/>
          <w:sz w:val="32"/>
          <w:szCs w:val="32"/>
        </w:rPr>
        <w:t>第一項收支對列、地方教育發展基金動支留存項目或年度進行中配合總預算追加預算及特別預算辦理者，如已明列辦理項目內容及經費，</w:t>
      </w:r>
      <w:proofErr w:type="gramStart"/>
      <w:r w:rsidRPr="001437C5">
        <w:rPr>
          <w:rFonts w:hint="eastAsia"/>
          <w:sz w:val="32"/>
          <w:szCs w:val="32"/>
        </w:rPr>
        <w:t>免提本</w:t>
      </w:r>
      <w:proofErr w:type="gramEnd"/>
      <w:r w:rsidRPr="001437C5">
        <w:rPr>
          <w:rFonts w:hint="eastAsia"/>
          <w:sz w:val="32"/>
          <w:szCs w:val="32"/>
        </w:rPr>
        <w:t>府預算審查委員會核准，由</w:t>
      </w:r>
      <w:r w:rsidR="00EA571D" w:rsidRPr="001437C5">
        <w:rPr>
          <w:rFonts w:hint="eastAsia"/>
          <w:sz w:val="32"/>
          <w:szCs w:val="32"/>
        </w:rPr>
        <w:lastRenderedPageBreak/>
        <w:t>各基金</w:t>
      </w:r>
      <w:r w:rsidRPr="001437C5">
        <w:rPr>
          <w:rFonts w:hint="eastAsia"/>
          <w:sz w:val="32"/>
          <w:szCs w:val="32"/>
        </w:rPr>
        <w:t>及主管機關自行依有關規定核辦。</w:t>
      </w:r>
    </w:p>
    <w:p w:rsidR="001D6DD5" w:rsidRPr="001437C5" w:rsidRDefault="00E02238" w:rsidP="00E02238">
      <w:pPr>
        <w:pStyle w:val="a3"/>
        <w:spacing w:line="460" w:lineRule="exact"/>
        <w:ind w:left="624" w:firstLineChars="0" w:firstLine="0"/>
        <w:rPr>
          <w:sz w:val="32"/>
          <w:szCs w:val="32"/>
        </w:rPr>
      </w:pPr>
      <w:r w:rsidRPr="001437C5">
        <w:rPr>
          <w:rFonts w:hint="eastAsia"/>
          <w:sz w:val="32"/>
          <w:szCs w:val="32"/>
        </w:rPr>
        <w:t>第一項</w:t>
      </w:r>
      <w:r w:rsidR="001D6DD5" w:rsidRPr="001437C5">
        <w:rPr>
          <w:rFonts w:hint="eastAsia"/>
          <w:sz w:val="32"/>
          <w:szCs w:val="32"/>
        </w:rPr>
        <w:t>經本府預算審查委員會核准之補辦預算或超支</w:t>
      </w:r>
      <w:proofErr w:type="gramStart"/>
      <w:r w:rsidR="001D6DD5" w:rsidRPr="001437C5">
        <w:rPr>
          <w:rFonts w:hint="eastAsia"/>
          <w:sz w:val="32"/>
          <w:szCs w:val="32"/>
        </w:rPr>
        <w:t>併</w:t>
      </w:r>
      <w:proofErr w:type="gramEnd"/>
      <w:r w:rsidR="001D6DD5" w:rsidRPr="001437C5">
        <w:rPr>
          <w:rFonts w:hint="eastAsia"/>
          <w:sz w:val="32"/>
          <w:szCs w:val="32"/>
        </w:rPr>
        <w:t>決算計畫，如需停止或暫緩執行者，應簽報主管機關</w:t>
      </w:r>
      <w:r w:rsidR="00625D0C" w:rsidRPr="001437C5">
        <w:rPr>
          <w:rFonts w:hint="eastAsia"/>
          <w:sz w:val="32"/>
          <w:szCs w:val="32"/>
        </w:rPr>
        <w:t>核</w:t>
      </w:r>
      <w:r w:rsidR="001D6DD5" w:rsidRPr="001437C5">
        <w:rPr>
          <w:rFonts w:hint="eastAsia"/>
          <w:sz w:val="32"/>
          <w:szCs w:val="32"/>
        </w:rPr>
        <w:t>轉本府核准後辦理。</w:t>
      </w:r>
    </w:p>
    <w:p w:rsidR="0004411F" w:rsidRPr="001437C5" w:rsidRDefault="0004411F" w:rsidP="00E02238">
      <w:pPr>
        <w:widowControl/>
        <w:numPr>
          <w:ilvl w:val="0"/>
          <w:numId w:val="1"/>
        </w:numPr>
        <w:tabs>
          <w:tab w:val="left" w:pos="142"/>
        </w:tabs>
        <w:adjustRightInd w:val="0"/>
        <w:snapToGrid w:val="0"/>
        <w:spacing w:line="460" w:lineRule="exact"/>
        <w:ind w:left="624" w:hanging="624"/>
        <w:jc w:val="both"/>
        <w:rPr>
          <w:rFonts w:ascii="標楷體" w:eastAsia="標楷體" w:hAnsi="標楷體" w:cs="Times New Roman"/>
          <w:kern w:val="0"/>
          <w:sz w:val="32"/>
          <w:szCs w:val="32"/>
        </w:rPr>
      </w:pPr>
      <w:r w:rsidRPr="001437C5">
        <w:rPr>
          <w:rFonts w:ascii="標楷體" w:eastAsia="標楷體" w:hAnsi="標楷體" w:cs="Times New Roman"/>
          <w:kern w:val="0"/>
          <w:sz w:val="32"/>
          <w:szCs w:val="32"/>
        </w:rPr>
        <w:t>奉准辦理補辦預算，其每筆數額超過新臺幣五千萬元者，應於本府核准後三日內報由主管機關以府函送請市議會備查，並副知本府主計處。</w:t>
      </w:r>
    </w:p>
    <w:p w:rsidR="00320BF6" w:rsidRPr="001437C5" w:rsidRDefault="00320BF6" w:rsidP="00320BF6">
      <w:pPr>
        <w:widowControl/>
        <w:numPr>
          <w:ilvl w:val="0"/>
          <w:numId w:val="1"/>
        </w:numPr>
        <w:tabs>
          <w:tab w:val="left" w:pos="142"/>
        </w:tabs>
        <w:adjustRightInd w:val="0"/>
        <w:snapToGrid w:val="0"/>
        <w:spacing w:line="460" w:lineRule="exact"/>
        <w:ind w:left="624" w:hanging="624"/>
        <w:jc w:val="both"/>
        <w:rPr>
          <w:rFonts w:ascii="Times New Roman" w:eastAsia="標楷體" w:hAnsi="Times New Roman" w:cs="Times New Roman"/>
          <w:kern w:val="0"/>
          <w:sz w:val="32"/>
          <w:szCs w:val="32"/>
        </w:rPr>
      </w:pPr>
      <w:r w:rsidRPr="001437C5">
        <w:rPr>
          <w:rFonts w:ascii="Times New Roman" w:eastAsia="標楷體" w:hAnsi="Times New Roman" w:cs="Times New Roman" w:hint="eastAsia"/>
          <w:kern w:val="0"/>
          <w:sz w:val="32"/>
          <w:szCs w:val="32"/>
        </w:rPr>
        <w:t>依</w:t>
      </w:r>
      <w:r w:rsidR="00BF4E79" w:rsidRPr="001437C5">
        <w:rPr>
          <w:rFonts w:ascii="Times New Roman" w:eastAsia="標楷體" w:hAnsi="Times New Roman" w:cs="Times New Roman" w:hint="eastAsia"/>
          <w:kern w:val="0"/>
          <w:sz w:val="32"/>
          <w:szCs w:val="32"/>
        </w:rPr>
        <w:t>執行要點</w:t>
      </w:r>
      <w:r w:rsidRPr="001437C5">
        <w:rPr>
          <w:rFonts w:ascii="Times New Roman" w:eastAsia="標楷體" w:hAnsi="Times New Roman" w:cs="Times New Roman" w:hint="eastAsia"/>
          <w:kern w:val="0"/>
          <w:sz w:val="32"/>
          <w:szCs w:val="32"/>
        </w:rPr>
        <w:t>規定應專案報由主管機關核</w:t>
      </w:r>
      <w:r w:rsidR="00665992" w:rsidRPr="001437C5">
        <w:rPr>
          <w:rFonts w:ascii="Times New Roman" w:eastAsia="標楷體" w:hAnsi="Times New Roman" w:cs="Times New Roman" w:hint="eastAsia"/>
          <w:kern w:val="0"/>
          <w:sz w:val="32"/>
          <w:szCs w:val="32"/>
        </w:rPr>
        <w:t>定</w:t>
      </w:r>
      <w:r w:rsidRPr="001437C5">
        <w:rPr>
          <w:rFonts w:ascii="Times New Roman" w:eastAsia="標楷體" w:hAnsi="Times New Roman" w:cs="Times New Roman" w:hint="eastAsia"/>
          <w:kern w:val="0"/>
          <w:sz w:val="32"/>
          <w:szCs w:val="32"/>
        </w:rPr>
        <w:t>事項，核定函</w:t>
      </w:r>
      <w:proofErr w:type="gramStart"/>
      <w:r w:rsidRPr="001437C5">
        <w:rPr>
          <w:rFonts w:ascii="Times New Roman" w:eastAsia="標楷體" w:hAnsi="Times New Roman" w:cs="Times New Roman" w:hint="eastAsia"/>
          <w:kern w:val="0"/>
          <w:sz w:val="32"/>
          <w:szCs w:val="32"/>
        </w:rPr>
        <w:t>文應副</w:t>
      </w:r>
      <w:proofErr w:type="gramEnd"/>
      <w:r w:rsidRPr="001437C5">
        <w:rPr>
          <w:rFonts w:ascii="Times New Roman" w:eastAsia="標楷體" w:hAnsi="Times New Roman" w:cs="Times New Roman" w:hint="eastAsia"/>
          <w:kern w:val="0"/>
          <w:sz w:val="32"/>
          <w:szCs w:val="32"/>
        </w:rPr>
        <w:t>知本府主計處、本府財政局及審計部</w:t>
      </w:r>
      <w:proofErr w:type="gramStart"/>
      <w:r w:rsidRPr="001437C5">
        <w:rPr>
          <w:rFonts w:ascii="Times New Roman" w:eastAsia="標楷體" w:hAnsi="Times New Roman" w:cs="Times New Roman" w:hint="eastAsia"/>
          <w:kern w:val="0"/>
          <w:sz w:val="32"/>
          <w:szCs w:val="32"/>
        </w:rPr>
        <w:t>臺</w:t>
      </w:r>
      <w:proofErr w:type="gramEnd"/>
      <w:r w:rsidRPr="001437C5">
        <w:rPr>
          <w:rFonts w:ascii="Times New Roman" w:eastAsia="標楷體" w:hAnsi="Times New Roman" w:cs="Times New Roman" w:hint="eastAsia"/>
          <w:kern w:val="0"/>
          <w:sz w:val="32"/>
          <w:szCs w:val="32"/>
        </w:rPr>
        <w:t>中</w:t>
      </w:r>
      <w:proofErr w:type="gramStart"/>
      <w:r w:rsidRPr="001437C5">
        <w:rPr>
          <w:rFonts w:ascii="Times New Roman" w:eastAsia="標楷體" w:hAnsi="Times New Roman" w:cs="Times New Roman" w:hint="eastAsia"/>
          <w:kern w:val="0"/>
          <w:sz w:val="32"/>
          <w:szCs w:val="32"/>
        </w:rPr>
        <w:t>巿</w:t>
      </w:r>
      <w:proofErr w:type="gramEnd"/>
      <w:r w:rsidRPr="001437C5">
        <w:rPr>
          <w:rFonts w:ascii="Times New Roman" w:eastAsia="標楷體" w:hAnsi="Times New Roman" w:cs="Times New Roman" w:hint="eastAsia"/>
          <w:kern w:val="0"/>
          <w:sz w:val="32"/>
          <w:szCs w:val="32"/>
        </w:rPr>
        <w:t>審計處。</w:t>
      </w:r>
    </w:p>
    <w:p w:rsidR="0004411F" w:rsidRPr="001437C5" w:rsidRDefault="0004411F" w:rsidP="00320BF6">
      <w:pPr>
        <w:widowControl/>
        <w:tabs>
          <w:tab w:val="left" w:pos="142"/>
        </w:tabs>
        <w:adjustRightInd w:val="0"/>
        <w:snapToGrid w:val="0"/>
        <w:spacing w:line="460" w:lineRule="exact"/>
        <w:ind w:left="624"/>
        <w:jc w:val="both"/>
        <w:rPr>
          <w:rFonts w:ascii="Times New Roman" w:eastAsia="標楷體" w:hAnsi="Times New Roman" w:cs="Times New Roman"/>
          <w:kern w:val="0"/>
          <w:sz w:val="32"/>
          <w:szCs w:val="32"/>
        </w:rPr>
      </w:pPr>
      <w:r w:rsidRPr="001437C5">
        <w:rPr>
          <w:rFonts w:ascii="Times New Roman" w:eastAsia="標楷體" w:hAnsi="標楷體" w:cs="Times New Roman"/>
          <w:color w:val="000000"/>
          <w:sz w:val="32"/>
          <w:szCs w:val="32"/>
        </w:rPr>
        <w:t>依</w:t>
      </w:r>
      <w:r w:rsidR="00BF4E79" w:rsidRPr="001437C5">
        <w:rPr>
          <w:rFonts w:ascii="Times New Roman" w:eastAsia="標楷體" w:hAnsi="Times New Roman" w:cs="Times New Roman" w:hint="eastAsia"/>
          <w:kern w:val="0"/>
          <w:sz w:val="32"/>
          <w:szCs w:val="32"/>
        </w:rPr>
        <w:t>執行要點及本注意事項</w:t>
      </w:r>
      <w:r w:rsidRPr="001437C5">
        <w:rPr>
          <w:rFonts w:ascii="Times New Roman" w:eastAsia="標楷體" w:hAnsi="標楷體" w:cs="Times New Roman"/>
          <w:color w:val="000000"/>
          <w:sz w:val="32"/>
          <w:szCs w:val="32"/>
        </w:rPr>
        <w:t>規定應專案報由主管機關核轉本府核准事項，應由主管機關以專簽奉</w:t>
      </w:r>
      <w:proofErr w:type="gramStart"/>
      <w:r w:rsidRPr="001437C5">
        <w:rPr>
          <w:rFonts w:ascii="Times New Roman" w:eastAsia="標楷體" w:hAnsi="標楷體" w:cs="Times New Roman"/>
          <w:color w:val="000000"/>
          <w:sz w:val="32"/>
          <w:szCs w:val="32"/>
        </w:rPr>
        <w:t>巿</w:t>
      </w:r>
      <w:proofErr w:type="gramEnd"/>
      <w:r w:rsidRPr="001437C5">
        <w:rPr>
          <w:rFonts w:ascii="Times New Roman" w:eastAsia="標楷體" w:hAnsi="標楷體" w:cs="Times New Roman"/>
          <w:color w:val="000000"/>
          <w:sz w:val="32"/>
          <w:szCs w:val="32"/>
        </w:rPr>
        <w:t>長核准後，由主管機關</w:t>
      </w:r>
      <w:proofErr w:type="gramStart"/>
      <w:r w:rsidRPr="001437C5">
        <w:rPr>
          <w:rFonts w:ascii="Times New Roman" w:eastAsia="標楷體" w:hAnsi="標楷體" w:cs="Times New Roman"/>
          <w:color w:val="000000"/>
          <w:sz w:val="32"/>
          <w:szCs w:val="32"/>
        </w:rPr>
        <w:t>秉辦府</w:t>
      </w:r>
      <w:proofErr w:type="gramEnd"/>
      <w:r w:rsidRPr="001437C5">
        <w:rPr>
          <w:rFonts w:ascii="Times New Roman" w:eastAsia="標楷體" w:hAnsi="標楷體" w:cs="Times New Roman"/>
          <w:color w:val="000000"/>
          <w:sz w:val="32"/>
          <w:szCs w:val="32"/>
        </w:rPr>
        <w:t>函核定</w:t>
      </w:r>
      <w:r w:rsidR="00320BF6" w:rsidRPr="001437C5">
        <w:rPr>
          <w:rFonts w:ascii="Times New Roman" w:eastAsia="標楷體" w:hAnsi="標楷體" w:cs="Times New Roman" w:hint="eastAsia"/>
          <w:color w:val="000000"/>
          <w:sz w:val="32"/>
          <w:szCs w:val="32"/>
        </w:rPr>
        <w:t>，並</w:t>
      </w:r>
      <w:r w:rsidR="00320BF6" w:rsidRPr="001437C5">
        <w:rPr>
          <w:rFonts w:ascii="Times New Roman" w:eastAsia="標楷體" w:hAnsi="Times New Roman" w:cs="Times New Roman" w:hint="eastAsia"/>
          <w:kern w:val="0"/>
          <w:sz w:val="32"/>
          <w:szCs w:val="32"/>
        </w:rPr>
        <w:t>副知本府主計處、本府財政局及審計部</w:t>
      </w:r>
      <w:proofErr w:type="gramStart"/>
      <w:r w:rsidR="00320BF6" w:rsidRPr="001437C5">
        <w:rPr>
          <w:rFonts w:ascii="Times New Roman" w:eastAsia="標楷體" w:hAnsi="Times New Roman" w:cs="Times New Roman" w:hint="eastAsia"/>
          <w:kern w:val="0"/>
          <w:sz w:val="32"/>
          <w:szCs w:val="32"/>
        </w:rPr>
        <w:t>臺</w:t>
      </w:r>
      <w:proofErr w:type="gramEnd"/>
      <w:r w:rsidR="00320BF6" w:rsidRPr="001437C5">
        <w:rPr>
          <w:rFonts w:ascii="Times New Roman" w:eastAsia="標楷體" w:hAnsi="Times New Roman" w:cs="Times New Roman" w:hint="eastAsia"/>
          <w:kern w:val="0"/>
          <w:sz w:val="32"/>
          <w:szCs w:val="32"/>
        </w:rPr>
        <w:t>中</w:t>
      </w:r>
      <w:proofErr w:type="gramStart"/>
      <w:r w:rsidR="00320BF6" w:rsidRPr="001437C5">
        <w:rPr>
          <w:rFonts w:ascii="Times New Roman" w:eastAsia="標楷體" w:hAnsi="Times New Roman" w:cs="Times New Roman" w:hint="eastAsia"/>
          <w:kern w:val="0"/>
          <w:sz w:val="32"/>
          <w:szCs w:val="32"/>
        </w:rPr>
        <w:t>巿</w:t>
      </w:r>
      <w:proofErr w:type="gramEnd"/>
      <w:r w:rsidR="00320BF6" w:rsidRPr="001437C5">
        <w:rPr>
          <w:rFonts w:ascii="Times New Roman" w:eastAsia="標楷體" w:hAnsi="Times New Roman" w:cs="Times New Roman" w:hint="eastAsia"/>
          <w:kern w:val="0"/>
          <w:sz w:val="32"/>
          <w:szCs w:val="32"/>
        </w:rPr>
        <w:t>審計處。</w:t>
      </w:r>
    </w:p>
    <w:p w:rsidR="0004411F" w:rsidRPr="001437C5" w:rsidRDefault="0004411F" w:rsidP="00E02238">
      <w:pPr>
        <w:widowControl/>
        <w:numPr>
          <w:ilvl w:val="0"/>
          <w:numId w:val="1"/>
        </w:numPr>
        <w:tabs>
          <w:tab w:val="left" w:pos="142"/>
        </w:tabs>
        <w:adjustRightInd w:val="0"/>
        <w:snapToGrid w:val="0"/>
        <w:spacing w:line="460" w:lineRule="exact"/>
        <w:ind w:left="624" w:hanging="624"/>
        <w:jc w:val="both"/>
        <w:rPr>
          <w:rFonts w:ascii="Times New Roman" w:eastAsia="標楷體" w:hAnsi="Times New Roman" w:cs="Times New Roman"/>
          <w:kern w:val="0"/>
          <w:sz w:val="32"/>
          <w:szCs w:val="32"/>
        </w:rPr>
      </w:pPr>
      <w:r w:rsidRPr="001437C5">
        <w:rPr>
          <w:rFonts w:ascii="Times New Roman" w:eastAsia="標楷體" w:hAnsi="標楷體" w:cs="Times New Roman"/>
          <w:color w:val="000000"/>
          <w:sz w:val="32"/>
          <w:szCs w:val="32"/>
        </w:rPr>
        <w:t>本注意事項未盡事宜，本府主計處得另補充規定之。</w:t>
      </w:r>
    </w:p>
    <w:p w:rsidR="00DE00EB" w:rsidRPr="001437C5" w:rsidRDefault="00CA3B44"/>
    <w:sectPr w:rsidR="00DE00EB" w:rsidRPr="001437C5" w:rsidSect="00F87C2F">
      <w:pgSz w:w="11906" w:h="16838"/>
      <w:pgMar w:top="1440" w:right="1416"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B44" w:rsidRDefault="00CA3B44" w:rsidP="003B48A2">
      <w:r>
        <w:separator/>
      </w:r>
    </w:p>
  </w:endnote>
  <w:endnote w:type="continuationSeparator" w:id="0">
    <w:p w:rsidR="00CA3B44" w:rsidRDefault="00CA3B44" w:rsidP="003B48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B44" w:rsidRDefault="00CA3B44" w:rsidP="003B48A2">
      <w:r>
        <w:separator/>
      </w:r>
    </w:p>
  </w:footnote>
  <w:footnote w:type="continuationSeparator" w:id="0">
    <w:p w:rsidR="00CA3B44" w:rsidRDefault="00CA3B44" w:rsidP="003B48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A14EE"/>
    <w:multiLevelType w:val="hybridMultilevel"/>
    <w:tmpl w:val="C764CADE"/>
    <w:lvl w:ilvl="0" w:tplc="E2464D46">
      <w:start w:val="1"/>
      <w:numFmt w:val="taiwaneseCountingThousand"/>
      <w:suff w:val="nothing"/>
      <w:lvlText w:val="(%1)"/>
      <w:lvlJc w:val="left"/>
      <w:pPr>
        <w:ind w:left="1043" w:hanging="476"/>
      </w:pPr>
      <w:rPr>
        <w:rFonts w:eastAsia="標楷體" w:hint="eastAsia"/>
        <w:b w:val="0"/>
        <w:i w:val="0"/>
        <w:sz w:val="24"/>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B1F4389"/>
    <w:multiLevelType w:val="hybridMultilevel"/>
    <w:tmpl w:val="310630B4"/>
    <w:lvl w:ilvl="0" w:tplc="2DE8A7AC">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4300FF"/>
    <w:multiLevelType w:val="multilevel"/>
    <w:tmpl w:val="529ED578"/>
    <w:lvl w:ilvl="0">
      <w:start w:val="1"/>
      <w:numFmt w:val="taiwaneseCountingThousand"/>
      <w:suff w:val="nothing"/>
      <w:lvlText w:val="%1、"/>
      <w:lvlJc w:val="left"/>
      <w:pPr>
        <w:ind w:left="851" w:hanging="851"/>
      </w:pPr>
      <w:rPr>
        <w:rFonts w:ascii="標楷體" w:eastAsia="標楷體" w:hAnsi="新細明體" w:cs="Times New Roman" w:hint="eastAsia"/>
        <w:b w:val="0"/>
        <w:i w:val="0"/>
        <w:color w:val="auto"/>
        <w:sz w:val="32"/>
        <w:szCs w:val="32"/>
        <w:lang w:val="en-US"/>
      </w:rPr>
    </w:lvl>
    <w:lvl w:ilvl="1">
      <w:start w:val="1"/>
      <w:numFmt w:val="taiwaneseCountingThousand"/>
      <w:lvlText w:val="（%2）"/>
      <w:lvlJc w:val="left"/>
      <w:pPr>
        <w:tabs>
          <w:tab w:val="num" w:pos="-142"/>
        </w:tabs>
        <w:ind w:left="482" w:hanging="199"/>
      </w:pPr>
      <w:rPr>
        <w:rFonts w:hint="eastAsia"/>
        <w:b w:val="0"/>
      </w:rPr>
    </w:lvl>
    <w:lvl w:ilvl="2">
      <w:start w:val="1"/>
      <w:numFmt w:val="decimal"/>
      <w:lvlText w:val="%3."/>
      <w:lvlJc w:val="left"/>
      <w:pPr>
        <w:tabs>
          <w:tab w:val="num" w:pos="1276"/>
        </w:tabs>
        <w:ind w:left="1276" w:hanging="567"/>
      </w:pPr>
      <w:rPr>
        <w:rFonts w:hint="eastAsia"/>
      </w:rPr>
    </w:lvl>
    <w:lvl w:ilvl="3">
      <w:start w:val="1"/>
      <w:numFmt w:val="decimal"/>
      <w:lvlText w:val="%1.%2.%3.%4"/>
      <w:lvlJc w:val="left"/>
      <w:pPr>
        <w:tabs>
          <w:tab w:val="num" w:pos="1842"/>
        </w:tabs>
        <w:ind w:left="1842" w:hanging="708"/>
      </w:pPr>
      <w:rPr>
        <w:rFonts w:hint="eastAsia"/>
      </w:rPr>
    </w:lvl>
    <w:lvl w:ilvl="4">
      <w:start w:val="1"/>
      <w:numFmt w:val="decimal"/>
      <w:lvlText w:val="%1.%2.%3.%4.%5"/>
      <w:lvlJc w:val="left"/>
      <w:pPr>
        <w:tabs>
          <w:tab w:val="num" w:pos="2409"/>
        </w:tabs>
        <w:ind w:left="2409" w:hanging="850"/>
      </w:pPr>
      <w:rPr>
        <w:rFonts w:hint="eastAsia"/>
      </w:rPr>
    </w:lvl>
    <w:lvl w:ilvl="5">
      <w:start w:val="1"/>
      <w:numFmt w:val="decimal"/>
      <w:lvlText w:val="%1.%2.%3.%4.%5.%6"/>
      <w:lvlJc w:val="left"/>
      <w:pPr>
        <w:tabs>
          <w:tab w:val="num" w:pos="3118"/>
        </w:tabs>
        <w:ind w:left="3118" w:hanging="1134"/>
      </w:pPr>
      <w:rPr>
        <w:rFonts w:hint="eastAsia"/>
      </w:rPr>
    </w:lvl>
    <w:lvl w:ilvl="6">
      <w:start w:val="1"/>
      <w:numFmt w:val="decimal"/>
      <w:lvlText w:val="%1.%2.%3.%4.%5.%6.%7"/>
      <w:lvlJc w:val="left"/>
      <w:pPr>
        <w:tabs>
          <w:tab w:val="num" w:pos="3685"/>
        </w:tabs>
        <w:ind w:left="3685" w:hanging="1276"/>
      </w:pPr>
      <w:rPr>
        <w:rFonts w:hint="eastAsia"/>
      </w:rPr>
    </w:lvl>
    <w:lvl w:ilvl="7">
      <w:start w:val="1"/>
      <w:numFmt w:val="decimal"/>
      <w:lvlText w:val="%1.%2.%3.%4.%5.%6.%7.%8"/>
      <w:lvlJc w:val="left"/>
      <w:pPr>
        <w:tabs>
          <w:tab w:val="num" w:pos="4252"/>
        </w:tabs>
        <w:ind w:left="4252" w:hanging="1418"/>
      </w:pPr>
      <w:rPr>
        <w:rFonts w:hint="eastAsia"/>
      </w:rPr>
    </w:lvl>
    <w:lvl w:ilvl="8">
      <w:start w:val="1"/>
      <w:numFmt w:val="decimal"/>
      <w:lvlText w:val="%1.%2.%3.%4.%5.%6.%7.%8.%9"/>
      <w:lvlJc w:val="left"/>
      <w:pPr>
        <w:tabs>
          <w:tab w:val="num" w:pos="4960"/>
        </w:tabs>
        <w:ind w:left="4960" w:hanging="1700"/>
      </w:pPr>
      <w:rPr>
        <w:rFonts w:hint="eastAsia"/>
      </w:rPr>
    </w:lvl>
  </w:abstractNum>
  <w:abstractNum w:abstractNumId="3">
    <w:nsid w:val="3C361464"/>
    <w:multiLevelType w:val="hybridMultilevel"/>
    <w:tmpl w:val="15DE3974"/>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40472E9A"/>
    <w:multiLevelType w:val="hybridMultilevel"/>
    <w:tmpl w:val="5FA6F9D8"/>
    <w:lvl w:ilvl="0" w:tplc="576084A2">
      <w:start w:val="1"/>
      <w:numFmt w:val="taiwaneseCountingThousand"/>
      <w:lvlText w:val="(%1)"/>
      <w:lvlJc w:val="left"/>
      <w:pPr>
        <w:ind w:left="1614" w:hanging="480"/>
      </w:pPr>
      <w:rPr>
        <w:rFonts w:hint="eastAsia"/>
        <w:u w:val="non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
    <w:nsid w:val="4D404DAC"/>
    <w:multiLevelType w:val="hybridMultilevel"/>
    <w:tmpl w:val="F93E6C42"/>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nsid w:val="4D852714"/>
    <w:multiLevelType w:val="hybridMultilevel"/>
    <w:tmpl w:val="E9A60800"/>
    <w:lvl w:ilvl="0" w:tplc="64DA8AB6">
      <w:start w:val="1"/>
      <w:numFmt w:val="taiwaneseCountingThousand"/>
      <w:suff w:val="nothing"/>
      <w:lvlText w:val="(%1)"/>
      <w:lvlJc w:val="left"/>
      <w:pPr>
        <w:ind w:left="1043" w:hanging="476"/>
      </w:pPr>
      <w:rPr>
        <w:rFonts w:eastAsia="標楷體" w:hint="eastAsia"/>
        <w:b w:val="0"/>
        <w:i w:val="0"/>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F40021F"/>
    <w:multiLevelType w:val="hybridMultilevel"/>
    <w:tmpl w:val="15DE3974"/>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nsid w:val="583113FC"/>
    <w:multiLevelType w:val="hybridMultilevel"/>
    <w:tmpl w:val="CA5E2FC6"/>
    <w:lvl w:ilvl="0" w:tplc="FC2A5EA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B9652C1"/>
    <w:multiLevelType w:val="hybridMultilevel"/>
    <w:tmpl w:val="689EEFE6"/>
    <w:lvl w:ilvl="0" w:tplc="D1CC1ABE">
      <w:start w:val="1"/>
      <w:numFmt w:val="taiwaneseCountingThousand"/>
      <w:lvlText w:val="(%1)"/>
      <w:lvlJc w:val="left"/>
      <w:pPr>
        <w:ind w:left="1614" w:hanging="480"/>
      </w:pPr>
      <w:rPr>
        <w:rFonts w:hint="eastAsia"/>
        <w:u w:val="singl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nsid w:val="5BDC4064"/>
    <w:multiLevelType w:val="hybridMultilevel"/>
    <w:tmpl w:val="9FDAE7F8"/>
    <w:lvl w:ilvl="0" w:tplc="9CF048B8">
      <w:start w:val="1"/>
      <w:numFmt w:val="taiwaneseCountingThousand"/>
      <w:lvlText w:val="(%1)"/>
      <w:lvlJc w:val="left"/>
      <w:pPr>
        <w:ind w:left="1614" w:hanging="480"/>
      </w:pPr>
      <w:rPr>
        <w:rFonts w:hint="eastAsia"/>
        <w:u w:val="none"/>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nsid w:val="6B0A361A"/>
    <w:multiLevelType w:val="hybridMultilevel"/>
    <w:tmpl w:val="15DE3974"/>
    <w:lvl w:ilvl="0" w:tplc="9F70330C">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70386D22"/>
    <w:multiLevelType w:val="hybridMultilevel"/>
    <w:tmpl w:val="A91AF714"/>
    <w:lvl w:ilvl="0" w:tplc="D21C337C">
      <w:start w:val="1"/>
      <w:numFmt w:val="taiwaneseCountingThousand"/>
      <w:suff w:val="nothing"/>
      <w:lvlText w:val="(%1)"/>
      <w:lvlJc w:val="left"/>
      <w:pPr>
        <w:ind w:left="1043" w:hanging="476"/>
      </w:pPr>
      <w:rPr>
        <w:rFonts w:eastAsia="標楷體" w:hint="eastAsia"/>
        <w:b w:val="0"/>
        <w:i w:val="0"/>
        <w:sz w:val="24"/>
        <w:szCs w:val="3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2"/>
  </w:num>
  <w:num w:numId="2">
    <w:abstractNumId w:val="0"/>
  </w:num>
  <w:num w:numId="3">
    <w:abstractNumId w:val="12"/>
  </w:num>
  <w:num w:numId="4">
    <w:abstractNumId w:val="6"/>
  </w:num>
  <w:num w:numId="5">
    <w:abstractNumId w:val="1"/>
  </w:num>
  <w:num w:numId="6">
    <w:abstractNumId w:val="5"/>
  </w:num>
  <w:num w:numId="7">
    <w:abstractNumId w:val="4"/>
  </w:num>
  <w:num w:numId="8">
    <w:abstractNumId w:val="8"/>
  </w:num>
  <w:num w:numId="9">
    <w:abstractNumId w:val="3"/>
  </w:num>
  <w:num w:numId="10">
    <w:abstractNumId w:val="11"/>
  </w:num>
  <w:num w:numId="11">
    <w:abstractNumId w:val="7"/>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4411F"/>
    <w:rsid w:val="00017AB2"/>
    <w:rsid w:val="0004411F"/>
    <w:rsid w:val="0005134F"/>
    <w:rsid w:val="00056E77"/>
    <w:rsid w:val="001437C5"/>
    <w:rsid w:val="00145791"/>
    <w:rsid w:val="001A6D12"/>
    <w:rsid w:val="001D6DD5"/>
    <w:rsid w:val="002C5E11"/>
    <w:rsid w:val="002C73E1"/>
    <w:rsid w:val="002E3B74"/>
    <w:rsid w:val="00317EA3"/>
    <w:rsid w:val="00320BF6"/>
    <w:rsid w:val="00366320"/>
    <w:rsid w:val="00366854"/>
    <w:rsid w:val="003B48A2"/>
    <w:rsid w:val="003C341A"/>
    <w:rsid w:val="003E0A69"/>
    <w:rsid w:val="0047568E"/>
    <w:rsid w:val="004964C6"/>
    <w:rsid w:val="004D27F3"/>
    <w:rsid w:val="00505B00"/>
    <w:rsid w:val="00510716"/>
    <w:rsid w:val="005327EE"/>
    <w:rsid w:val="005672CA"/>
    <w:rsid w:val="0059305E"/>
    <w:rsid w:val="005C4326"/>
    <w:rsid w:val="005D1C0B"/>
    <w:rsid w:val="005D6113"/>
    <w:rsid w:val="005F72DB"/>
    <w:rsid w:val="00625D0C"/>
    <w:rsid w:val="00665992"/>
    <w:rsid w:val="00671D42"/>
    <w:rsid w:val="006D4827"/>
    <w:rsid w:val="00754C5A"/>
    <w:rsid w:val="008275FB"/>
    <w:rsid w:val="008C4E9C"/>
    <w:rsid w:val="00946817"/>
    <w:rsid w:val="00A27A9A"/>
    <w:rsid w:val="00B60099"/>
    <w:rsid w:val="00BF4E79"/>
    <w:rsid w:val="00CA3B44"/>
    <w:rsid w:val="00D24219"/>
    <w:rsid w:val="00D55581"/>
    <w:rsid w:val="00E02238"/>
    <w:rsid w:val="00E52488"/>
    <w:rsid w:val="00E75F09"/>
    <w:rsid w:val="00EA571D"/>
    <w:rsid w:val="00ED738D"/>
    <w:rsid w:val="00EF436E"/>
    <w:rsid w:val="00F230AA"/>
    <w:rsid w:val="00F37D28"/>
    <w:rsid w:val="00F87C2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72D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145791"/>
    <w:pPr>
      <w:ind w:left="283" w:hangingChars="118" w:hanging="283"/>
      <w:jc w:val="both"/>
    </w:pPr>
    <w:rPr>
      <w:rFonts w:ascii="標楷體" w:eastAsia="標楷體" w:hAnsi="標楷體" w:cs="Times New Roman"/>
      <w:color w:val="000000"/>
      <w:szCs w:val="24"/>
    </w:rPr>
  </w:style>
  <w:style w:type="paragraph" w:styleId="a4">
    <w:name w:val="List Paragraph"/>
    <w:basedOn w:val="a"/>
    <w:uiPriority w:val="34"/>
    <w:qFormat/>
    <w:rsid w:val="00145791"/>
    <w:pPr>
      <w:ind w:leftChars="200" w:left="480"/>
    </w:pPr>
  </w:style>
  <w:style w:type="character" w:customStyle="1" w:styleId="dialogtext1">
    <w:name w:val="dialog_text1"/>
    <w:rsid w:val="008C4E9C"/>
    <w:rPr>
      <w:rFonts w:ascii="sөũ" w:hAnsi="sөũ" w:hint="default"/>
      <w:color w:val="000000"/>
      <w:sz w:val="24"/>
      <w:szCs w:val="24"/>
    </w:rPr>
  </w:style>
  <w:style w:type="paragraph" w:styleId="a5">
    <w:name w:val="Balloon Text"/>
    <w:basedOn w:val="a"/>
    <w:link w:val="a6"/>
    <w:uiPriority w:val="99"/>
    <w:semiHidden/>
    <w:unhideWhenUsed/>
    <w:rsid w:val="00056E7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6E77"/>
    <w:rPr>
      <w:rFonts w:asciiTheme="majorHAnsi" w:eastAsiaTheme="majorEastAsia" w:hAnsiTheme="majorHAnsi" w:cstheme="majorBidi"/>
      <w:sz w:val="18"/>
      <w:szCs w:val="18"/>
    </w:rPr>
  </w:style>
  <w:style w:type="paragraph" w:styleId="a7">
    <w:name w:val="header"/>
    <w:basedOn w:val="a"/>
    <w:link w:val="a8"/>
    <w:uiPriority w:val="99"/>
    <w:semiHidden/>
    <w:unhideWhenUsed/>
    <w:rsid w:val="003B48A2"/>
    <w:pPr>
      <w:tabs>
        <w:tab w:val="center" w:pos="4153"/>
        <w:tab w:val="right" w:pos="8306"/>
      </w:tabs>
      <w:snapToGrid w:val="0"/>
    </w:pPr>
    <w:rPr>
      <w:sz w:val="20"/>
      <w:szCs w:val="20"/>
    </w:rPr>
  </w:style>
  <w:style w:type="character" w:customStyle="1" w:styleId="a8">
    <w:name w:val="頁首 字元"/>
    <w:basedOn w:val="a0"/>
    <w:link w:val="a7"/>
    <w:uiPriority w:val="99"/>
    <w:semiHidden/>
    <w:rsid w:val="003B48A2"/>
    <w:rPr>
      <w:sz w:val="20"/>
      <w:szCs w:val="20"/>
    </w:rPr>
  </w:style>
  <w:style w:type="paragraph" w:styleId="a9">
    <w:name w:val="footer"/>
    <w:basedOn w:val="a"/>
    <w:link w:val="aa"/>
    <w:uiPriority w:val="99"/>
    <w:semiHidden/>
    <w:unhideWhenUsed/>
    <w:rsid w:val="003B48A2"/>
    <w:pPr>
      <w:tabs>
        <w:tab w:val="center" w:pos="4153"/>
        <w:tab w:val="right" w:pos="8306"/>
      </w:tabs>
      <w:snapToGrid w:val="0"/>
    </w:pPr>
    <w:rPr>
      <w:sz w:val="20"/>
      <w:szCs w:val="20"/>
    </w:rPr>
  </w:style>
  <w:style w:type="character" w:customStyle="1" w:styleId="aa">
    <w:name w:val="頁尾 字元"/>
    <w:basedOn w:val="a0"/>
    <w:link w:val="a9"/>
    <w:uiPriority w:val="99"/>
    <w:semiHidden/>
    <w:rsid w:val="003B48A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145791"/>
    <w:pPr>
      <w:ind w:left="283" w:hangingChars="118" w:hanging="283"/>
      <w:jc w:val="both"/>
    </w:pPr>
    <w:rPr>
      <w:rFonts w:ascii="標楷體" w:eastAsia="標楷體" w:hAnsi="標楷體" w:cs="Times New Roman"/>
      <w:color w:val="000000"/>
      <w:szCs w:val="24"/>
    </w:rPr>
  </w:style>
  <w:style w:type="paragraph" w:styleId="a4">
    <w:name w:val="List Paragraph"/>
    <w:basedOn w:val="a"/>
    <w:uiPriority w:val="34"/>
    <w:qFormat/>
    <w:rsid w:val="00145791"/>
    <w:pPr>
      <w:ind w:leftChars="200" w:left="480"/>
    </w:pPr>
  </w:style>
  <w:style w:type="character" w:customStyle="1" w:styleId="dialogtext1">
    <w:name w:val="dialog_text1"/>
    <w:rsid w:val="008C4E9C"/>
    <w:rPr>
      <w:rFonts w:ascii="sөũ" w:hAnsi="sөũ" w:hint="default"/>
      <w:color w:val="000000"/>
      <w:sz w:val="24"/>
      <w:szCs w:val="24"/>
    </w:rPr>
  </w:style>
  <w:style w:type="paragraph" w:styleId="a5">
    <w:name w:val="Balloon Text"/>
    <w:basedOn w:val="a"/>
    <w:link w:val="a6"/>
    <w:uiPriority w:val="99"/>
    <w:semiHidden/>
    <w:unhideWhenUsed/>
    <w:rsid w:val="00056E7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56E7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8504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34776-ED47-450C-AA4C-4009EC3D9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216</Words>
  <Characters>1234</Characters>
  <Application>Microsoft Office Word</Application>
  <DocSecurity>0</DocSecurity>
  <Lines>10</Lines>
  <Paragraphs>2</Paragraphs>
  <ScaleCrop>false</ScaleCrop>
  <Company>Hewlett-Packard Company</Company>
  <LinksUpToDate>false</LinksUpToDate>
  <CharactersWithSpaces>1448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李芬芳</dc:creator>
  <cp:lastModifiedBy>cakica35</cp:lastModifiedBy>
  <cp:revision>2</cp:revision>
  <cp:lastPrinted>2017-01-05T02:08:00Z</cp:lastPrinted>
  <dcterms:created xsi:type="dcterms:W3CDTF">2017-01-17T06:55:00Z</dcterms:created>
  <dcterms:modified xsi:type="dcterms:W3CDTF">2017-01-17T06:55:00Z</dcterms:modified>
</cp:coreProperties>
</file>