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AE4" w:rsidRPr="00D631F7" w:rsidRDefault="00040E29" w:rsidP="00503A88">
      <w:pPr>
        <w:spacing w:before="120" w:after="120" w:line="460" w:lineRule="exact"/>
        <w:ind w:firstLine="801"/>
        <w:rPr>
          <w:rFonts w:ascii="標楷體" w:eastAsia="標楷體" w:hAnsi="標楷體"/>
          <w:color w:val="000000"/>
          <w:sz w:val="40"/>
          <w:szCs w:val="40"/>
        </w:rPr>
      </w:pPr>
      <w:bookmarkStart w:id="0" w:name="_GoBack"/>
      <w:proofErr w:type="gramStart"/>
      <w:r w:rsidRPr="00D631F7">
        <w:rPr>
          <w:rFonts w:ascii="標楷體" w:eastAsia="標楷體" w:hAnsi="標楷體"/>
          <w:color w:val="000000"/>
          <w:sz w:val="40"/>
          <w:szCs w:val="40"/>
        </w:rPr>
        <w:t>臺</w:t>
      </w:r>
      <w:proofErr w:type="gramEnd"/>
      <w:r w:rsidRPr="00D631F7">
        <w:rPr>
          <w:rFonts w:ascii="標楷體" w:eastAsia="標楷體" w:hAnsi="標楷體"/>
          <w:color w:val="000000"/>
          <w:sz w:val="40"/>
          <w:szCs w:val="40"/>
        </w:rPr>
        <w:t>中市政府都市發展局組織規程</w:t>
      </w:r>
    </w:p>
    <w:bookmarkEnd w:id="0"/>
    <w:p w:rsidR="00FB5AE4" w:rsidRDefault="00040E29">
      <w:pPr>
        <w:autoSpaceDE w:val="0"/>
        <w:spacing w:line="240" w:lineRule="exact"/>
        <w:jc w:val="right"/>
        <w:rPr>
          <w:rFonts w:ascii="標楷體" w:eastAsia="標楷體" w:hAnsi="標楷體" w:cs="標楷體"/>
          <w:color w:val="000000"/>
          <w:kern w:val="0"/>
          <w:sz w:val="20"/>
          <w:szCs w:val="20"/>
        </w:rPr>
      </w:pPr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中華民國</w:t>
      </w:r>
      <w:proofErr w:type="gramStart"/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99年12月25日府授法規</w:t>
      </w:r>
      <w:proofErr w:type="gramEnd"/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字第0990000093號令訂定</w:t>
      </w:r>
    </w:p>
    <w:p w:rsidR="00FB5AE4" w:rsidRDefault="00040E29">
      <w:pPr>
        <w:autoSpaceDE w:val="0"/>
        <w:spacing w:line="240" w:lineRule="exact"/>
        <w:jc w:val="right"/>
        <w:rPr>
          <w:rFonts w:ascii="標楷體" w:eastAsia="標楷體" w:hAnsi="標楷體" w:cs="標楷體"/>
          <w:color w:val="000000"/>
          <w:kern w:val="0"/>
          <w:sz w:val="20"/>
          <w:szCs w:val="20"/>
        </w:rPr>
      </w:pPr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中華民國100年3月3日考授</w:t>
      </w:r>
      <w:proofErr w:type="gramStart"/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銓</w:t>
      </w:r>
      <w:proofErr w:type="gramEnd"/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法五字第1003315459號函備查</w:t>
      </w:r>
    </w:p>
    <w:p w:rsidR="00FB5AE4" w:rsidRDefault="00040E29">
      <w:pPr>
        <w:autoSpaceDE w:val="0"/>
        <w:spacing w:line="240" w:lineRule="exact"/>
        <w:jc w:val="right"/>
        <w:rPr>
          <w:rFonts w:ascii="標楷體" w:eastAsia="標楷體" w:hAnsi="標楷體" w:cs="標楷體"/>
          <w:color w:val="000000"/>
          <w:kern w:val="0"/>
          <w:sz w:val="20"/>
          <w:szCs w:val="20"/>
        </w:rPr>
      </w:pPr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中華民國</w:t>
      </w:r>
      <w:proofErr w:type="gramStart"/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100年9月5日府授法規</w:t>
      </w:r>
      <w:proofErr w:type="gramEnd"/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字第1000171211號令修正第1、3、13條</w:t>
      </w:r>
    </w:p>
    <w:p w:rsidR="00FB5AE4" w:rsidRDefault="00040E29">
      <w:pPr>
        <w:autoSpaceDE w:val="0"/>
        <w:spacing w:line="240" w:lineRule="exact"/>
        <w:jc w:val="right"/>
        <w:rPr>
          <w:rFonts w:ascii="標楷體" w:eastAsia="標楷體" w:hAnsi="標楷體" w:cs="標楷體"/>
          <w:color w:val="000000"/>
          <w:kern w:val="0"/>
          <w:sz w:val="20"/>
          <w:szCs w:val="20"/>
        </w:rPr>
      </w:pPr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中華民國100年12月15日考授</w:t>
      </w:r>
      <w:proofErr w:type="gramStart"/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銓</w:t>
      </w:r>
      <w:proofErr w:type="gramEnd"/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法五字第1003532502號函備查</w:t>
      </w:r>
    </w:p>
    <w:p w:rsidR="00FB5AE4" w:rsidRDefault="00040E29">
      <w:pPr>
        <w:autoSpaceDE w:val="0"/>
        <w:spacing w:line="240" w:lineRule="exact"/>
        <w:jc w:val="right"/>
        <w:rPr>
          <w:rFonts w:ascii="標楷體" w:eastAsia="標楷體" w:hAnsi="標楷體" w:cs="標楷體"/>
          <w:color w:val="000000"/>
          <w:kern w:val="0"/>
          <w:sz w:val="20"/>
          <w:szCs w:val="20"/>
        </w:rPr>
      </w:pPr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中華民國</w:t>
      </w:r>
      <w:proofErr w:type="gramStart"/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101年6月15日府授法規</w:t>
      </w:r>
      <w:proofErr w:type="gramEnd"/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字第1010099942號令修正</w:t>
      </w:r>
    </w:p>
    <w:p w:rsidR="00FB5AE4" w:rsidRDefault="00040E29">
      <w:pPr>
        <w:autoSpaceDE w:val="0"/>
        <w:spacing w:line="240" w:lineRule="exact"/>
        <w:jc w:val="right"/>
        <w:rPr>
          <w:rFonts w:ascii="標楷體" w:eastAsia="標楷體" w:hAnsi="標楷體" w:cs="標楷體"/>
          <w:color w:val="000000"/>
          <w:kern w:val="0"/>
          <w:sz w:val="20"/>
          <w:szCs w:val="20"/>
        </w:rPr>
      </w:pPr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中華民國101年6月21日考授</w:t>
      </w:r>
      <w:proofErr w:type="gramStart"/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銓</w:t>
      </w:r>
      <w:proofErr w:type="gramEnd"/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法五字第1013618682號函備查</w:t>
      </w:r>
    </w:p>
    <w:p w:rsidR="00FB5AE4" w:rsidRDefault="00040E29">
      <w:pPr>
        <w:autoSpaceDE w:val="0"/>
        <w:spacing w:line="240" w:lineRule="exact"/>
        <w:jc w:val="right"/>
        <w:rPr>
          <w:rFonts w:ascii="標楷體" w:eastAsia="標楷體" w:hAnsi="標楷體" w:cs="標楷體"/>
          <w:color w:val="000000"/>
          <w:kern w:val="0"/>
          <w:sz w:val="20"/>
          <w:szCs w:val="20"/>
        </w:rPr>
      </w:pPr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中華民國</w:t>
      </w:r>
      <w:proofErr w:type="gramStart"/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102年10月21日府授法規</w:t>
      </w:r>
      <w:proofErr w:type="gramEnd"/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字第10201978891號令修正</w:t>
      </w:r>
    </w:p>
    <w:p w:rsidR="00FB5AE4" w:rsidRDefault="00040E29">
      <w:pPr>
        <w:autoSpaceDE w:val="0"/>
        <w:spacing w:line="240" w:lineRule="exact"/>
        <w:jc w:val="right"/>
      </w:pPr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中華民國102年11月19日考授</w:t>
      </w:r>
      <w:proofErr w:type="gramStart"/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銓</w:t>
      </w:r>
      <w:proofErr w:type="gramEnd"/>
      <w:r>
        <w:rPr>
          <w:rFonts w:ascii="標楷體" w:eastAsia="標楷體" w:hAnsi="標楷體" w:cs="標楷體"/>
          <w:color w:val="000000"/>
          <w:kern w:val="0"/>
          <w:sz w:val="20"/>
          <w:szCs w:val="20"/>
        </w:rPr>
        <w:t>法五字第1023785347號函備查</w:t>
      </w:r>
    </w:p>
    <w:p w:rsidR="00FB5AE4" w:rsidRDefault="00040E29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第一條　　本規程依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中市政府組織自治條例第六條第二項規定訂定之。</w:t>
      </w:r>
    </w:p>
    <w:p w:rsidR="00FB5AE4" w:rsidRDefault="00040E29">
      <w:pPr>
        <w:spacing w:line="460" w:lineRule="exact"/>
        <w:ind w:left="840" w:hanging="8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第二條　　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中市政府都市發展局（以下簡稱都發局）置局長，承市長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之命綜理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局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務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，並指揮監督所屬機關及員工；置副局長二人，襄理局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務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FB5AE4" w:rsidRDefault="00040E29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第三條　　都發局設下列科、室，分別掌理各有關事項：</w:t>
      </w:r>
    </w:p>
    <w:p w:rsidR="00FB5AE4" w:rsidRDefault="00040E29">
      <w:pPr>
        <w:spacing w:line="460" w:lineRule="exact"/>
        <w:ind w:left="2044" w:hanging="61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一、綜合企劃科：國土規劃及區域計畫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研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訂與審議、區域及都會環境規劃之研究、調查與分析、專案計畫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研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訂與執行、先導性開發建設計畫及綜合性業務等事項。</w:t>
      </w:r>
    </w:p>
    <w:p w:rsidR="00FB5AE4" w:rsidRDefault="00040E29">
      <w:pPr>
        <w:spacing w:line="460" w:lineRule="exact"/>
        <w:ind w:left="2044" w:hanging="61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二、城鄉計畫科：都市計畫、專案變更及通盤檢討之擬訂與審議、開發許可審議、容積移轉申請、土地使用分區管制、都市計畫申請或建議案件之審議等事項。</w:t>
      </w:r>
    </w:p>
    <w:p w:rsidR="00FB5AE4" w:rsidRDefault="00040E29">
      <w:pPr>
        <w:widowControl/>
        <w:snapToGrid w:val="0"/>
        <w:spacing w:line="460" w:lineRule="exact"/>
        <w:ind w:left="20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三、都計測量工程科：都市計畫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樁位測設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工程規劃設計監造、樁位</w:t>
      </w:r>
      <w:r w:rsidR="00E53D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維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護工程、都市計畫使用分區證明及資料更新維護、建築線指示（定）申請、地理資訊系統建置、都市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計畫圖資提供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等事項。</w:t>
      </w:r>
    </w:p>
    <w:p w:rsidR="00FB5AE4" w:rsidRDefault="00040E29">
      <w:pPr>
        <w:widowControl/>
        <w:snapToGrid w:val="0"/>
        <w:spacing w:line="460" w:lineRule="exact"/>
        <w:ind w:left="20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四、都市設計工程科：城鄉風貌工程及都市環境工程規劃設計監造、都市設計準則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研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訂、景觀綱要計畫擬訂及都市設計審議等事項。</w:t>
      </w:r>
    </w:p>
    <w:p w:rsidR="00FB5AE4" w:rsidRDefault="00040E29">
      <w:pPr>
        <w:widowControl/>
        <w:snapToGrid w:val="0"/>
        <w:spacing w:line="460" w:lineRule="exact"/>
        <w:ind w:left="20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五、都市更新工程科：都市更新工程(重建工程、整建工程、維護工程)規劃設計監造、更新政策及發展研究、更新地區劃定、更新計畫擬定、審議、執行及輔導等事項。</w:t>
      </w:r>
    </w:p>
    <w:p w:rsidR="00FB5AE4" w:rsidRDefault="00040E29">
      <w:pPr>
        <w:widowControl/>
        <w:snapToGrid w:val="0"/>
        <w:spacing w:line="460" w:lineRule="exact"/>
        <w:ind w:left="20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六、建造管理科：建築工程特殊構造審議、建造執照、雜項執照、拆除執照及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畸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零地證明之核發、建築師及營造業之登記、獎懲、管理、從業人員之講習、輔導等事項。</w:t>
      </w:r>
    </w:p>
    <w:p w:rsidR="00FB5AE4" w:rsidRDefault="00040E29">
      <w:pPr>
        <w:spacing w:line="460" w:lineRule="exact"/>
        <w:ind w:left="2002" w:hanging="588"/>
        <w:jc w:val="both"/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七、</w:t>
      </w:r>
      <w:r w:rsidR="00A07387" w:rsidRPr="00A0738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營造施工科：建築工程施工管理、施工勘驗、建築工程工期</w:t>
      </w:r>
      <w:r w:rsidR="00A07387" w:rsidRPr="00A0738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審議、使用執照之核發、土石資源堆置處理場管理等事項。</w:t>
      </w:r>
    </w:p>
    <w:p w:rsidR="00FB5AE4" w:rsidRDefault="00040E29">
      <w:pPr>
        <w:spacing w:line="460" w:lineRule="exact"/>
        <w:ind w:left="2000" w:hanging="560"/>
        <w:jc w:val="both"/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八、使用管理科：室內裝修許可、建築物公共安全檢查及處置、受理建築物公共安全檢查簽證申報、變更使用執照之審核等事項。</w:t>
      </w:r>
    </w:p>
    <w:p w:rsidR="00FB5AE4" w:rsidRDefault="00040E29">
      <w:pPr>
        <w:widowControl/>
        <w:snapToGrid w:val="0"/>
        <w:spacing w:line="460" w:lineRule="exact"/>
        <w:ind w:left="20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九、廣告物管理科：廣告物示範區建置工程規劃設計監造、招牌廣告及樹立廣告之管理、廣告物許可核發、機械遊樂設施管理、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降設備管理、建築物無障礙設施管理及違章建築查報等事項。</w:t>
      </w:r>
    </w:p>
    <w:p w:rsidR="00FB5AE4" w:rsidRDefault="00040E29">
      <w:pPr>
        <w:pStyle w:val="a6"/>
        <w:spacing w:line="460" w:lineRule="exact"/>
        <w:ind w:left="1998" w:hanging="560"/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十、住宅管理科：國宅興建工程、住宅風貌更新工程及</w:t>
      </w:r>
      <w:r>
        <w:rPr>
          <w:rFonts w:ascii="標楷體" w:eastAsia="標楷體" w:hAnsi="標楷體"/>
          <w:color w:val="000000"/>
          <w:spacing w:val="-10"/>
          <w:sz w:val="28"/>
          <w:szCs w:val="28"/>
        </w:rPr>
        <w:t>國宅社區修繕工程等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規劃設計監造</w:t>
      </w:r>
      <w:r>
        <w:rPr>
          <w:rFonts w:ascii="標楷體" w:eastAsia="標楷體" w:hAnsi="標楷體"/>
          <w:color w:val="000000"/>
          <w:spacing w:val="-10"/>
          <w:sz w:val="28"/>
          <w:szCs w:val="28"/>
        </w:rPr>
        <w:t>、住宅政策及計畫之擬定、標售、轉售業務、住宅補貼、公寓大廈事務管理、爭議調解及組織成立之督導等事項。</w:t>
      </w:r>
    </w:p>
    <w:p w:rsidR="00FB5AE4" w:rsidRDefault="00040E29" w:rsidP="00A07387">
      <w:pPr>
        <w:widowControl/>
        <w:snapToGrid w:val="0"/>
        <w:spacing w:line="460" w:lineRule="exact"/>
        <w:ind w:left="2291" w:hanging="851"/>
        <w:jc w:val="both"/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十一、</w:t>
      </w:r>
      <w:r w:rsidR="00A07387" w:rsidRPr="00A0738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都市修復工程科：新舊違章建築物拆除工程規劃設計監造、違規使用建築物拆除工程、廣告物拆除、各項專案拆除工程配合事項、都發局自辦工程規劃設計監造施工等及其他機關（單位）委託代辦工程業務事項。</w:t>
      </w:r>
    </w:p>
    <w:p w:rsidR="00FB5AE4" w:rsidRDefault="00040E29">
      <w:pPr>
        <w:spacing w:line="460" w:lineRule="exact"/>
        <w:ind w:left="2268" w:hanging="226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　　　　　十二、秘書室：文書、檔案、印信、事務、採購、出納、法制、研考、資訊管理、財產管理、工友及適用勞動基準法人員之管理、公共關係、新聞發布及不屬於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其他科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、室之事項。</w:t>
      </w:r>
    </w:p>
    <w:p w:rsidR="00FB5AE4" w:rsidRDefault="00040E29">
      <w:pPr>
        <w:spacing w:line="460" w:lineRule="exact"/>
        <w:ind w:left="840" w:hanging="840"/>
      </w:pPr>
      <w:r>
        <w:rPr>
          <w:rFonts w:ascii="標楷體" w:eastAsia="標楷體" w:hAnsi="標楷體"/>
          <w:color w:val="000000"/>
          <w:sz w:val="28"/>
          <w:szCs w:val="28"/>
        </w:rPr>
        <w:t>第四條　  都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發局置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主任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秘書、總工程司、專門委員、副總工程司、科長、主任、正工程司、專員、股長、副工程司、幫工程司、管理師、工程 員、科員、助理員、助理工程員、書記</w:t>
      </w:r>
      <w:r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FB5AE4" w:rsidRDefault="00040E29">
      <w:pPr>
        <w:spacing w:line="460" w:lineRule="exact"/>
        <w:ind w:left="840" w:hanging="840"/>
      </w:pPr>
      <w:r>
        <w:rPr>
          <w:rFonts w:ascii="標楷體" w:eastAsia="標楷體" w:hAnsi="標楷體"/>
          <w:color w:val="000000"/>
          <w:sz w:val="28"/>
          <w:szCs w:val="28"/>
        </w:rPr>
        <w:t>第五條　　都發局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設人事室，置主任、科員、助理員，依法辦理人事管理事項。</w:t>
      </w:r>
    </w:p>
    <w:p w:rsidR="00FB5AE4" w:rsidRDefault="00040E29">
      <w:pPr>
        <w:spacing w:line="460" w:lineRule="exact"/>
        <w:ind w:left="840" w:hanging="840"/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第六條　　都發局設會計室，置主任、科員、佐理員，依法辦理歲計、會計及統計事項</w:t>
      </w:r>
      <w:r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FB5AE4" w:rsidRDefault="00040E29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第七條　　都發局設政風室，置主任、科員，依法辦理政風事項。</w:t>
      </w:r>
    </w:p>
    <w:p w:rsidR="00FB5AE4" w:rsidRDefault="00040E29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第八條　　本規程所列各職稱之官等職等及員額，另以編制表定之。</w:t>
      </w:r>
    </w:p>
    <w:p w:rsidR="00FB5AE4" w:rsidRDefault="00040E29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      各職稱之官等職等，依職務列等表之規定。</w:t>
      </w:r>
    </w:p>
    <w:p w:rsidR="00FB5AE4" w:rsidRDefault="00040E29">
      <w:pPr>
        <w:widowControl/>
        <w:snapToGrid w:val="0"/>
        <w:spacing w:line="460" w:lineRule="exact"/>
        <w:ind w:left="840" w:hanging="84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第九條　　都發局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得視業務需要，延聘國內外學者專家為顧問。</w:t>
      </w:r>
    </w:p>
    <w:p w:rsidR="00FB5AE4" w:rsidRDefault="00040E29">
      <w:pPr>
        <w:spacing w:line="460" w:lineRule="exact"/>
        <w:ind w:left="840" w:hanging="840"/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lastRenderedPageBreak/>
        <w:t xml:space="preserve">　　　　　</w:t>
      </w:r>
      <w:r>
        <w:rPr>
          <w:rFonts w:ascii="標楷體" w:eastAsia="標楷體" w:hAnsi="標楷體"/>
          <w:color w:val="000000"/>
          <w:sz w:val="28"/>
          <w:szCs w:val="28"/>
        </w:rPr>
        <w:t>都發局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得視業務需要，報經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中市政府</w:t>
      </w:r>
      <w:r w:rsidR="00A0738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(以下簡稱本府)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核定後，設置各種委員會，其組織另定之。</w:t>
      </w:r>
    </w:p>
    <w:p w:rsidR="00FB5AE4" w:rsidRDefault="00040E29">
      <w:pPr>
        <w:spacing w:line="460" w:lineRule="exact"/>
        <w:ind w:left="840" w:hanging="84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第十條　　局長出缺繼任人員到任前，由</w:t>
      </w:r>
      <w:r w:rsidR="00A0738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府</w:t>
      </w:r>
      <w:r>
        <w:rPr>
          <w:rFonts w:ascii="標楷體" w:eastAsia="標楷體" w:hAnsi="標楷體"/>
          <w:color w:val="000000"/>
          <w:sz w:val="28"/>
          <w:szCs w:val="28"/>
        </w:rPr>
        <w:t>派員代理。</w:t>
      </w:r>
    </w:p>
    <w:p w:rsidR="00FB5AE4" w:rsidRDefault="00040E29">
      <w:pPr>
        <w:spacing w:line="460" w:lineRule="exact"/>
        <w:ind w:left="1400" w:hanging="140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　　　　　局長請假或因故不能執行職務，職務代理順序如下：</w:t>
      </w:r>
    </w:p>
    <w:p w:rsidR="00FB5AE4" w:rsidRDefault="00040E29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      一、副局長。</w:t>
      </w:r>
    </w:p>
    <w:p w:rsidR="00FB5AE4" w:rsidRDefault="00040E29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      二、主任秘書。</w:t>
      </w:r>
    </w:p>
    <w:p w:rsidR="00FB5AE4" w:rsidRDefault="00040E29">
      <w:pPr>
        <w:spacing w:line="460" w:lineRule="exact"/>
        <w:ind w:firstLine="1428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三、總工程司。</w:t>
      </w:r>
    </w:p>
    <w:p w:rsidR="00FB5AE4" w:rsidRDefault="00040E29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      前項情形，</w:t>
      </w:r>
      <w:proofErr w:type="gramStart"/>
      <w:r w:rsidR="00A07387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>
        <w:rPr>
          <w:rFonts w:ascii="標楷體" w:eastAsia="標楷體" w:hAnsi="標楷體"/>
          <w:color w:val="000000"/>
          <w:sz w:val="28"/>
          <w:szCs w:val="28"/>
        </w:rPr>
        <w:t>府得指派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適當人員代理。</w:t>
      </w:r>
    </w:p>
    <w:p w:rsidR="00FB5AE4" w:rsidRDefault="00040E29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第十一條　　都發局設局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務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會議，由局長召集並為主席，以下列人員組成之：</w:t>
      </w:r>
    </w:p>
    <w:p w:rsidR="00FB5AE4" w:rsidRDefault="00040E29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        一、局長。</w:t>
      </w:r>
    </w:p>
    <w:p w:rsidR="00FB5AE4" w:rsidRDefault="00040E29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        二、副局長。</w:t>
      </w:r>
    </w:p>
    <w:p w:rsidR="00FB5AE4" w:rsidRDefault="00040E29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        三、主任秘書。</w:t>
      </w:r>
    </w:p>
    <w:p w:rsidR="00FB5AE4" w:rsidRDefault="00040E29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        四、總工程司。</w:t>
      </w:r>
    </w:p>
    <w:p w:rsidR="00FB5AE4" w:rsidRDefault="00040E29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        五、專門委員</w:t>
      </w:r>
    </w:p>
    <w:p w:rsidR="00FB5AE4" w:rsidRDefault="00040E29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　　　　　　六、副總工程司。</w:t>
      </w:r>
    </w:p>
    <w:p w:rsidR="00FB5AE4" w:rsidRDefault="00040E29">
      <w:pPr>
        <w:spacing w:line="460" w:lineRule="exact"/>
        <w:ind w:left="1540" w:hanging="15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        七、科長。</w:t>
      </w:r>
    </w:p>
    <w:p w:rsidR="00FB5AE4" w:rsidRDefault="00040E29">
      <w:pPr>
        <w:spacing w:line="460" w:lineRule="exact"/>
        <w:ind w:left="1540" w:hanging="15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        八、主任。</w:t>
      </w:r>
    </w:p>
    <w:p w:rsidR="00FB5AE4" w:rsidRDefault="00040E29">
      <w:pPr>
        <w:spacing w:line="460" w:lineRule="exact"/>
        <w:ind w:left="112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        前項會議，必要時得由局長邀請或指定有關人員出席或列席。</w:t>
      </w:r>
    </w:p>
    <w:p w:rsidR="00FB5AE4" w:rsidRDefault="00040E29">
      <w:pPr>
        <w:spacing w:line="460" w:lineRule="exact"/>
        <w:ind w:left="1120" w:hanging="1120"/>
      </w:pPr>
      <w:r>
        <w:rPr>
          <w:rFonts w:ascii="標楷體" w:eastAsia="標楷體" w:hAnsi="標楷體"/>
          <w:color w:val="000000"/>
          <w:sz w:val="28"/>
          <w:szCs w:val="28"/>
        </w:rPr>
        <w:t>第十二條　　都發局分層負責明細表分甲表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及乙表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。甲表由都發局擬訂，報請</w:t>
      </w:r>
      <w:r w:rsidR="00A0738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府</w:t>
      </w:r>
      <w:r>
        <w:rPr>
          <w:rFonts w:ascii="標楷體" w:eastAsia="標楷體" w:hAnsi="標楷體"/>
          <w:color w:val="000000"/>
          <w:sz w:val="28"/>
          <w:szCs w:val="28"/>
        </w:rPr>
        <w:t>核定；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乙表由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都發局訂定，報請</w:t>
      </w:r>
      <w:r w:rsidR="00A0738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府</w:t>
      </w:r>
      <w:r>
        <w:rPr>
          <w:rFonts w:ascii="標楷體" w:eastAsia="標楷體" w:hAnsi="標楷體"/>
          <w:color w:val="000000"/>
          <w:sz w:val="28"/>
          <w:szCs w:val="28"/>
        </w:rPr>
        <w:t>備查。</w:t>
      </w:r>
    </w:p>
    <w:p w:rsidR="00FB5AE4" w:rsidRDefault="00040E29">
      <w:pPr>
        <w:pStyle w:val="-1"/>
        <w:spacing w:after="0" w:line="460" w:lineRule="exact"/>
        <w:ind w:left="280" w:hanging="280"/>
        <w:jc w:val="both"/>
      </w:pPr>
      <w:r>
        <w:rPr>
          <w:rFonts w:ascii="標楷體" w:hAnsi="標楷體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9144000</wp:posOffset>
                </wp:positionV>
                <wp:extent cx="571500" cy="316867"/>
                <wp:effectExtent l="0" t="0" r="0" b="6983"/>
                <wp:wrapNone/>
                <wp:docPr id="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168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FB5AE4" w:rsidRDefault="00040E2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8-3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id="Text Box 5" o:spid="_x0000_s1027" type="#_x0000_t202" style="position:absolute;left:0;text-align:left;margin-left:3in;margin-top:10in;width:45pt;height:24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" filled="f" stroked="f">
                <v:textbox>
                  <w:txbxContent>
                    <w:p w:rsidR="00FB5AE4" w:rsidRDefault="00040E29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8-3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hAnsi="標楷體"/>
          <w:color w:val="000000"/>
          <w:sz w:val="28"/>
          <w:szCs w:val="28"/>
        </w:rPr>
        <w:t xml:space="preserve">第十三條　　</w:t>
      </w:r>
      <w:r>
        <w:rPr>
          <w:rFonts w:ascii="標楷體" w:hAnsi="標楷體" w:cs="新細明體"/>
          <w:color w:val="000000"/>
          <w:kern w:val="0"/>
          <w:sz w:val="28"/>
          <w:szCs w:val="28"/>
        </w:rPr>
        <w:t>本規程自中華民國九十九年十二月二十五日施行。</w:t>
      </w:r>
    </w:p>
    <w:p w:rsidR="00FB5AE4" w:rsidRDefault="00040E29">
      <w:pPr>
        <w:pStyle w:val="-1"/>
        <w:spacing w:after="0" w:line="460" w:lineRule="exact"/>
        <w:ind w:left="1080" w:firstLine="560"/>
        <w:jc w:val="both"/>
      </w:pPr>
      <w:r>
        <w:rPr>
          <w:rFonts w:ascii="標楷體" w:hAnsi="標楷體"/>
          <w:sz w:val="28"/>
          <w:szCs w:val="28"/>
        </w:rPr>
        <w:t>本規程中華民國一百年九月五日修正條文，除第一條修正條文自民國一百年四月十五日施行外，其餘修正條文自發布日施行。</w:t>
      </w:r>
    </w:p>
    <w:p w:rsidR="00FB5AE4" w:rsidRDefault="00040E29">
      <w:pPr>
        <w:pStyle w:val="-1"/>
        <w:spacing w:after="0" w:line="460" w:lineRule="exact"/>
        <w:ind w:left="1080" w:firstLine="560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本規程中華民國一百零一年六月十五日修正條文，自發布日施行。</w:t>
      </w:r>
    </w:p>
    <w:p w:rsidR="00FB5AE4" w:rsidRDefault="00040E29">
      <w:pPr>
        <w:pStyle w:val="-1"/>
        <w:spacing w:after="0" w:line="460" w:lineRule="exact"/>
        <w:ind w:left="1134" w:hanging="1134"/>
        <w:jc w:val="both"/>
      </w:pPr>
      <w:r>
        <w:rPr>
          <w:rFonts w:ascii="標楷體" w:hAnsi="標楷體"/>
          <w:sz w:val="28"/>
          <w:szCs w:val="28"/>
        </w:rPr>
        <w:t xml:space="preserve">            本規程中華民國一百零二年十月二十一日修正條文，自發布日施行。</w:t>
      </w:r>
    </w:p>
    <w:sectPr w:rsidR="00FB5AE4">
      <w:footerReference w:type="default" r:id="rId7"/>
      <w:pgSz w:w="11907" w:h="16839"/>
      <w:pgMar w:top="1418" w:right="1134" w:bottom="1418" w:left="1304" w:header="720" w:footer="6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E6A" w:rsidRDefault="00F97E6A">
      <w:r>
        <w:separator/>
      </w:r>
    </w:p>
  </w:endnote>
  <w:endnote w:type="continuationSeparator" w:id="0">
    <w:p w:rsidR="00F97E6A" w:rsidRDefault="00F97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BEF" w:rsidRDefault="00040E29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64136" cy="146047"/>
              <wp:effectExtent l="0" t="0" r="12064" b="6353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6" cy="14604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BA2BEF" w:rsidRDefault="00040E29">
                          <w:pPr>
                            <w:pStyle w:val="a3"/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 w:rsidR="00D631F7">
                            <w:rPr>
                              <w:rStyle w:val="a5"/>
                              <w:noProof/>
                            </w:rPr>
                            <w:t>1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7" type="#_x0000_t202" style="position:absolute;margin-left:0;margin-top:.05pt;width:5.05pt;height:11.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" filled="f" stroked="f">
              <v:textbox style="mso-fit-shape-to-text:t" inset="0,0,0,0">
                <w:txbxContent>
                  <w:p w:rsidR="00BA2BEF" w:rsidRDefault="00040E29">
                    <w:pPr>
                      <w:pStyle w:val="a3"/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 w:rsidR="00D631F7">
                      <w:rPr>
                        <w:rStyle w:val="a5"/>
                        <w:noProof/>
                      </w:rPr>
                      <w:t>1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E6A" w:rsidRDefault="00F97E6A">
      <w:r>
        <w:rPr>
          <w:color w:val="000000"/>
        </w:rPr>
        <w:separator/>
      </w:r>
    </w:p>
  </w:footnote>
  <w:footnote w:type="continuationSeparator" w:id="0">
    <w:p w:rsidR="00F97E6A" w:rsidRDefault="00F97E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B5AE4"/>
    <w:rsid w:val="00004BCB"/>
    <w:rsid w:val="00040E29"/>
    <w:rsid w:val="00503A88"/>
    <w:rsid w:val="005A5C83"/>
    <w:rsid w:val="006F22C7"/>
    <w:rsid w:val="00833D9F"/>
    <w:rsid w:val="009C07A2"/>
    <w:rsid w:val="00A07387"/>
    <w:rsid w:val="00C40567"/>
    <w:rsid w:val="00D631F7"/>
    <w:rsid w:val="00E53D23"/>
    <w:rsid w:val="00F17872"/>
    <w:rsid w:val="00F97E6A"/>
    <w:rsid w:val="00FB5AE4"/>
    <w:rsid w:val="00FB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spacing w:line="360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</w:style>
  <w:style w:type="paragraph" w:styleId="a6">
    <w:name w:val="No Spacing"/>
    <w:pPr>
      <w:widowControl w:val="0"/>
      <w:suppressAutoHyphens/>
      <w:spacing w:line="240" w:lineRule="auto"/>
    </w:pPr>
    <w:rPr>
      <w:rFonts w:ascii="Times New Roman" w:hAnsi="Times New Roman"/>
      <w:szCs w:val="24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rFonts w:ascii="Calibri" w:eastAsia="新細明體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F22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F22C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spacing w:line="360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</w:style>
  <w:style w:type="paragraph" w:styleId="a6">
    <w:name w:val="No Spacing"/>
    <w:pPr>
      <w:widowControl w:val="0"/>
      <w:suppressAutoHyphens/>
      <w:spacing w:line="240" w:lineRule="auto"/>
    </w:pPr>
    <w:rPr>
      <w:rFonts w:ascii="Times New Roman" w:hAnsi="Times New Roman"/>
      <w:szCs w:val="24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rFonts w:ascii="Calibri" w:eastAsia="新細明體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F22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F22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332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studdlin</dc:creator>
  <cp:lastModifiedBy>張又孋</cp:lastModifiedBy>
  <cp:revision>4</cp:revision>
  <cp:lastPrinted>2016-12-30T02:56:00Z</cp:lastPrinted>
  <dcterms:created xsi:type="dcterms:W3CDTF">2016-12-30T02:24:00Z</dcterms:created>
  <dcterms:modified xsi:type="dcterms:W3CDTF">2016-12-30T02:57:00Z</dcterms:modified>
</cp:coreProperties>
</file>