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634" w:rsidRPr="00F43AF1" w:rsidRDefault="00635634" w:rsidP="00635634">
      <w:pPr>
        <w:spacing w:line="460" w:lineRule="exact"/>
        <w:rPr>
          <w:rFonts w:ascii="標楷體" w:eastAsia="標楷體" w:hAnsi="標楷體" w:cs="DFKaiShu-SB-Estd-BF"/>
          <w:kern w:val="0"/>
          <w:sz w:val="40"/>
          <w:szCs w:val="40"/>
        </w:rPr>
      </w:pPr>
      <w:proofErr w:type="gramStart"/>
      <w:r w:rsidRPr="009726DE">
        <w:rPr>
          <w:rFonts w:ascii="標楷體" w:eastAsia="標楷體" w:hAnsi="標楷體" w:hint="eastAsia"/>
          <w:sz w:val="40"/>
          <w:szCs w:val="40"/>
        </w:rPr>
        <w:t>臺</w:t>
      </w:r>
      <w:proofErr w:type="gramEnd"/>
      <w:r w:rsidRPr="009726DE">
        <w:rPr>
          <w:rFonts w:ascii="標楷體" w:eastAsia="標楷體" w:hAnsi="標楷體" w:hint="eastAsia"/>
          <w:sz w:val="40"/>
          <w:szCs w:val="40"/>
        </w:rPr>
        <w:t>中市大坑風景特定區景觀規劃設計審議</w:t>
      </w:r>
      <w:r w:rsidRPr="00E25EB6">
        <w:rPr>
          <w:rFonts w:ascii="標楷體" w:eastAsia="標楷體" w:hAnsi="標楷體" w:hint="eastAsia"/>
          <w:sz w:val="40"/>
          <w:szCs w:val="40"/>
        </w:rPr>
        <w:t>規範</w:t>
      </w:r>
      <w:r w:rsidRPr="00F43AF1">
        <w:rPr>
          <w:rFonts w:ascii="標楷體" w:eastAsia="標楷體" w:hAnsi="標楷體" w:cs="DFKaiShu-SB-Estd-BF"/>
          <w:kern w:val="0"/>
          <w:sz w:val="40"/>
          <w:szCs w:val="40"/>
        </w:rPr>
        <w:tab/>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第一條</w:t>
      </w:r>
      <w:r>
        <w:rPr>
          <w:rFonts w:ascii="標楷體" w:eastAsia="標楷體" w:hAnsi="標楷體" w:hint="eastAsia"/>
          <w:color w:val="auto"/>
          <w:kern w:val="0"/>
        </w:rPr>
        <w:t xml:space="preserve">  </w:t>
      </w:r>
      <w:proofErr w:type="gramStart"/>
      <w:r w:rsidRPr="00E7409D">
        <w:rPr>
          <w:rFonts w:ascii="標楷體" w:eastAsia="標楷體" w:hAnsi="標楷體" w:hint="eastAsia"/>
          <w:color w:val="auto"/>
          <w:kern w:val="0"/>
        </w:rPr>
        <w:t>臺</w:t>
      </w:r>
      <w:proofErr w:type="gramEnd"/>
      <w:r w:rsidRPr="00E7409D">
        <w:rPr>
          <w:rFonts w:ascii="標楷體" w:eastAsia="標楷體" w:hAnsi="標楷體" w:hint="eastAsia"/>
          <w:color w:val="auto"/>
          <w:kern w:val="0"/>
        </w:rPr>
        <w:t>中市政府為辦理</w:t>
      </w:r>
      <w:proofErr w:type="gramStart"/>
      <w:r w:rsidRPr="00E7409D">
        <w:rPr>
          <w:rFonts w:ascii="標楷體" w:eastAsia="標楷體" w:hAnsi="標楷體" w:hint="eastAsia"/>
          <w:color w:val="auto"/>
          <w:kern w:val="0"/>
        </w:rPr>
        <w:t>臺</w:t>
      </w:r>
      <w:proofErr w:type="gramEnd"/>
      <w:r w:rsidRPr="00E7409D">
        <w:rPr>
          <w:rFonts w:ascii="標楷體" w:eastAsia="標楷體" w:hAnsi="標楷體" w:hint="eastAsia"/>
          <w:color w:val="auto"/>
          <w:kern w:val="0"/>
        </w:rPr>
        <w:t>中市大坑風景特定區(以下簡稱本特定區)景觀規劃設計、建築風貌管制事項，並執行本特定區景觀審議事項，特訂定本</w:t>
      </w:r>
      <w:r w:rsidRPr="00E25EB6">
        <w:rPr>
          <w:rFonts w:ascii="標楷體" w:eastAsia="標楷體" w:hAnsi="標楷體" w:hint="eastAsia"/>
          <w:color w:val="auto"/>
          <w:kern w:val="0"/>
        </w:rPr>
        <w:t>規範</w:t>
      </w:r>
      <w:r w:rsidRPr="00E7409D">
        <w:rPr>
          <w:rFonts w:ascii="標楷體" w:eastAsia="標楷體" w:hAnsi="標楷體" w:hint="eastAsia"/>
          <w:color w:val="auto"/>
          <w:kern w:val="0"/>
        </w:rPr>
        <w:t>。</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第二條</w:t>
      </w:r>
      <w:r>
        <w:rPr>
          <w:rFonts w:ascii="標楷體" w:eastAsia="標楷體" w:hAnsi="標楷體" w:hint="eastAsia"/>
          <w:color w:val="auto"/>
          <w:kern w:val="0"/>
        </w:rPr>
        <w:t xml:space="preserve">  本</w:t>
      </w:r>
      <w:r w:rsidRPr="00E25EB6">
        <w:rPr>
          <w:rFonts w:ascii="標楷體" w:eastAsia="標楷體" w:hAnsi="標楷體" w:hint="eastAsia"/>
          <w:color w:val="auto"/>
          <w:kern w:val="0"/>
        </w:rPr>
        <w:t>規範</w:t>
      </w:r>
      <w:r>
        <w:rPr>
          <w:rFonts w:ascii="標楷體" w:eastAsia="標楷體" w:hAnsi="標楷體" w:hint="eastAsia"/>
          <w:color w:val="auto"/>
          <w:kern w:val="0"/>
        </w:rPr>
        <w:t>用詞</w:t>
      </w:r>
      <w:r w:rsidRPr="00912107">
        <w:rPr>
          <w:rFonts w:ascii="標楷體" w:eastAsia="標楷體" w:hAnsi="標楷體" w:hint="eastAsia"/>
          <w:color w:val="auto"/>
          <w:kern w:val="0"/>
        </w:rPr>
        <w:t>定義如下：</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一、景觀規劃設計：公共開放空間、指定留設退縮地及法定空地之照明設計、植栽設計及公用設備及管線等整體景觀規劃設計。</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二、建築風貌：建築量體、造型、材質、色彩、天際線、立面、綠美化、</w:t>
      </w:r>
      <w:proofErr w:type="gramStart"/>
      <w:r w:rsidRPr="00912107">
        <w:rPr>
          <w:rFonts w:ascii="標楷體" w:eastAsia="標楷體" w:hAnsi="標楷體" w:hint="eastAsia"/>
          <w:color w:val="auto"/>
          <w:kern w:val="0"/>
        </w:rPr>
        <w:t>節能減碳</w:t>
      </w:r>
      <w:r>
        <w:rPr>
          <w:rFonts w:ascii="標楷體" w:eastAsia="標楷體" w:hAnsi="標楷體" w:hint="eastAsia"/>
          <w:color w:val="auto"/>
          <w:kern w:val="0"/>
        </w:rPr>
        <w:t>及</w:t>
      </w:r>
      <w:proofErr w:type="gramEnd"/>
      <w:r w:rsidRPr="00912107">
        <w:rPr>
          <w:rFonts w:ascii="標楷體" w:eastAsia="標楷體" w:hAnsi="標楷體" w:hint="eastAsia"/>
          <w:color w:val="auto"/>
          <w:kern w:val="0"/>
        </w:rPr>
        <w:t>夜間照明設計。</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三、指定退縮地：指建築基地或農地因</w:t>
      </w:r>
      <w:r>
        <w:rPr>
          <w:rFonts w:ascii="標楷體" w:eastAsia="標楷體" w:hAnsi="標楷體" w:hint="eastAsia"/>
          <w:color w:val="auto"/>
          <w:kern w:val="0"/>
        </w:rPr>
        <w:t>都市計畫、建築法及其他相關法規指定應退縮建築、留設</w:t>
      </w:r>
      <w:proofErr w:type="gramStart"/>
      <w:r>
        <w:rPr>
          <w:rFonts w:ascii="標楷體" w:eastAsia="標楷體" w:hAnsi="標楷體" w:hint="eastAsia"/>
          <w:color w:val="auto"/>
          <w:kern w:val="0"/>
        </w:rPr>
        <w:t>無遮簷</w:t>
      </w:r>
      <w:proofErr w:type="gramEnd"/>
      <w:r>
        <w:rPr>
          <w:rFonts w:ascii="標楷體" w:eastAsia="標楷體" w:hAnsi="標楷體" w:hint="eastAsia"/>
          <w:color w:val="auto"/>
          <w:kern w:val="0"/>
        </w:rPr>
        <w:t>人行道及</w:t>
      </w:r>
      <w:r w:rsidRPr="00912107">
        <w:rPr>
          <w:rFonts w:ascii="標楷體" w:eastAsia="標楷體" w:hAnsi="標楷體" w:hint="eastAsia"/>
          <w:color w:val="auto"/>
          <w:kern w:val="0"/>
        </w:rPr>
        <w:t>帶狀開放空間等之範圍。</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四、指定退縮地以外空間：指建築基地或農地內，於前款以外之範圍。</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第三條</w:t>
      </w:r>
      <w:r>
        <w:rPr>
          <w:rFonts w:ascii="標楷體" w:eastAsia="標楷體" w:hAnsi="標楷體" w:hint="eastAsia"/>
          <w:color w:val="auto"/>
          <w:kern w:val="0"/>
        </w:rPr>
        <w:t xml:space="preserve">  本</w:t>
      </w:r>
      <w:r w:rsidRPr="00E25EB6">
        <w:rPr>
          <w:rFonts w:ascii="標楷體" w:eastAsia="標楷體" w:hAnsi="標楷體" w:hint="eastAsia"/>
          <w:color w:val="auto"/>
          <w:kern w:val="0"/>
        </w:rPr>
        <w:t>規範</w:t>
      </w:r>
      <w:r w:rsidRPr="00912107">
        <w:rPr>
          <w:rFonts w:ascii="標楷體" w:eastAsia="標楷體" w:hAnsi="標楷體" w:hint="eastAsia"/>
          <w:color w:val="auto"/>
          <w:kern w:val="0"/>
        </w:rPr>
        <w:t>之主管機關為</w:t>
      </w:r>
      <w:proofErr w:type="gramStart"/>
      <w:r w:rsidRPr="00912107">
        <w:rPr>
          <w:rFonts w:ascii="標楷體" w:eastAsia="標楷體" w:hAnsi="標楷體" w:hint="eastAsia"/>
          <w:color w:val="auto"/>
          <w:kern w:val="0"/>
        </w:rPr>
        <w:t>臺</w:t>
      </w:r>
      <w:proofErr w:type="gramEnd"/>
      <w:r w:rsidRPr="00912107">
        <w:rPr>
          <w:rFonts w:ascii="標楷體" w:eastAsia="標楷體" w:hAnsi="標楷體" w:hint="eastAsia"/>
          <w:color w:val="auto"/>
          <w:kern w:val="0"/>
        </w:rPr>
        <w:t>中市政府</w:t>
      </w:r>
      <w:r>
        <w:rPr>
          <w:rFonts w:ascii="標楷體" w:eastAsia="標楷體" w:hAnsi="標楷體" w:hint="eastAsia"/>
          <w:color w:val="auto"/>
          <w:kern w:val="0"/>
        </w:rPr>
        <w:t>都市發展局(</w:t>
      </w:r>
      <w:r w:rsidRPr="00912107">
        <w:rPr>
          <w:rFonts w:ascii="標楷體" w:eastAsia="標楷體" w:hAnsi="標楷體" w:hint="eastAsia"/>
          <w:color w:val="auto"/>
          <w:kern w:val="0"/>
        </w:rPr>
        <w:t>以下簡稱</w:t>
      </w:r>
      <w:r>
        <w:rPr>
          <w:rFonts w:ascii="標楷體" w:eastAsia="標楷體" w:hAnsi="標楷體" w:hint="eastAsia"/>
          <w:color w:val="auto"/>
          <w:kern w:val="0"/>
        </w:rPr>
        <w:t>都發局)</w:t>
      </w:r>
      <w:r w:rsidRPr="00912107">
        <w:rPr>
          <w:rFonts w:ascii="標楷體" w:eastAsia="標楷體" w:hAnsi="標楷體" w:hint="eastAsia"/>
          <w:color w:val="auto"/>
          <w:kern w:val="0"/>
        </w:rPr>
        <w:t>，並設</w:t>
      </w:r>
      <w:proofErr w:type="gramStart"/>
      <w:r w:rsidRPr="00912107">
        <w:rPr>
          <w:rFonts w:ascii="標楷體" w:eastAsia="標楷體" w:hAnsi="標楷體" w:hint="eastAsia"/>
          <w:color w:val="auto"/>
          <w:kern w:val="0"/>
        </w:rPr>
        <w:t>臺</w:t>
      </w:r>
      <w:proofErr w:type="gramEnd"/>
      <w:r w:rsidRPr="00912107">
        <w:rPr>
          <w:rFonts w:ascii="標楷體" w:eastAsia="標楷體" w:hAnsi="標楷體" w:hint="eastAsia"/>
          <w:color w:val="auto"/>
          <w:kern w:val="0"/>
        </w:rPr>
        <w:t>中市大坑風景特定區景觀審議委員會(以下簡稱本委員會)辦理土地使用景觀管制審查事項。</w:t>
      </w:r>
    </w:p>
    <w:p w:rsidR="00635634" w:rsidRPr="00912107" w:rsidRDefault="00635634" w:rsidP="00635634">
      <w:pPr>
        <w:pStyle w:val="a5"/>
        <w:spacing w:line="460" w:lineRule="exact"/>
        <w:ind w:left="851" w:hanging="851"/>
        <w:rPr>
          <w:rFonts w:ascii="標楷體" w:eastAsia="標楷體" w:hAnsi="標楷體" w:hint="eastAsia"/>
          <w:color w:val="auto"/>
          <w:kern w:val="0"/>
        </w:rPr>
      </w:pPr>
      <w:r>
        <w:rPr>
          <w:rFonts w:ascii="標楷體" w:eastAsia="標楷體" w:hAnsi="標楷體" w:hint="eastAsia"/>
          <w:color w:val="auto"/>
          <w:kern w:val="0"/>
        </w:rPr>
        <w:t xml:space="preserve">        </w:t>
      </w:r>
      <w:r w:rsidRPr="00912107">
        <w:rPr>
          <w:rFonts w:ascii="標楷體" w:eastAsia="標楷體" w:hAnsi="標楷體" w:hint="eastAsia"/>
          <w:color w:val="auto"/>
          <w:kern w:val="0"/>
        </w:rPr>
        <w:t>本委員會審查事項為本特定區公有建築物及公共工程者，得由目的事業主管機關會同本委員會組成專案審查小組審查後，送本委員會審查。</w:t>
      </w:r>
    </w:p>
    <w:p w:rsidR="00635634" w:rsidRPr="00912107" w:rsidRDefault="00635634" w:rsidP="00635634">
      <w:pPr>
        <w:pStyle w:val="a5"/>
        <w:spacing w:line="460" w:lineRule="exact"/>
        <w:ind w:left="851" w:hanging="851"/>
        <w:rPr>
          <w:rFonts w:ascii="標楷體" w:eastAsia="標楷體" w:hAnsi="標楷體" w:hint="eastAsia"/>
          <w:color w:val="auto"/>
          <w:kern w:val="0"/>
        </w:rPr>
      </w:pPr>
      <w:r>
        <w:rPr>
          <w:rFonts w:ascii="標楷體" w:eastAsia="標楷體" w:hAnsi="標楷體" w:hint="eastAsia"/>
          <w:color w:val="auto"/>
          <w:kern w:val="0"/>
        </w:rPr>
        <w:t xml:space="preserve">        </w:t>
      </w:r>
      <w:r w:rsidRPr="009B4E52">
        <w:rPr>
          <w:rFonts w:ascii="標楷體" w:eastAsia="標楷體" w:hAnsi="標楷體" w:hint="eastAsia"/>
          <w:color w:val="auto"/>
          <w:kern w:val="0"/>
        </w:rPr>
        <w:t>關於本特定內公</w:t>
      </w:r>
      <w:r>
        <w:rPr>
          <w:rFonts w:ascii="標楷體" w:eastAsia="標楷體" w:hAnsi="標楷體" w:hint="eastAsia"/>
          <w:color w:val="auto"/>
          <w:kern w:val="0"/>
        </w:rPr>
        <w:t>共工程者之類型、項目，入口意象區及交通節點區域之送審基準，由都發局</w:t>
      </w:r>
      <w:r w:rsidRPr="009B4E52">
        <w:rPr>
          <w:rFonts w:ascii="標楷體" w:eastAsia="標楷體" w:hAnsi="標楷體" w:hint="eastAsia"/>
          <w:color w:val="auto"/>
          <w:kern w:val="0"/>
        </w:rPr>
        <w:t>另定之</w:t>
      </w:r>
      <w:r w:rsidRPr="00912107">
        <w:rPr>
          <w:rFonts w:ascii="標楷體" w:eastAsia="標楷體" w:hAnsi="標楷體" w:hint="eastAsia"/>
          <w:color w:val="auto"/>
          <w:kern w:val="0"/>
        </w:rPr>
        <w:t>。</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第四條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大坑風景特定區景觀審議變更設計有下列情形者，得免送本委員會辦理變更設計：</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一、變更設計屬變更室內內部構造或建築物使用用途變更者，不涉及建築外觀及都市開放空間變更者，免再提送本委</w:t>
      </w:r>
      <w:r w:rsidRPr="00912107">
        <w:rPr>
          <w:rFonts w:ascii="標楷體" w:eastAsia="標楷體" w:hAnsi="標楷體" w:hint="eastAsia"/>
          <w:color w:val="auto"/>
          <w:kern w:val="0"/>
        </w:rPr>
        <w:lastRenderedPageBreak/>
        <w:t>員會辦理變更設計。</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二、建築基地與規模：總樓地板面積變更，</w:t>
      </w:r>
      <w:proofErr w:type="gramStart"/>
      <w:r w:rsidRPr="00912107">
        <w:rPr>
          <w:rFonts w:ascii="標楷體" w:eastAsia="標楷體" w:hAnsi="標楷體" w:hint="eastAsia"/>
          <w:color w:val="auto"/>
          <w:kern w:val="0"/>
        </w:rPr>
        <w:t>其單幢增加</w:t>
      </w:r>
      <w:proofErr w:type="gramEnd"/>
      <w:r w:rsidRPr="00912107">
        <w:rPr>
          <w:rFonts w:ascii="標楷體" w:eastAsia="標楷體" w:hAnsi="標楷體" w:hint="eastAsia"/>
          <w:color w:val="auto"/>
          <w:kern w:val="0"/>
        </w:rPr>
        <w:t>或減少部分未超過原核准之百分之五，一宗基地檢討增加或減少部分未超過原核准之百分之十。但變更部分之總樓地板不得大於一千平方公尺。</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三、建築物高度（含屋突）：減少部分未超過原核准之百分之十。但變更部分之總高度不得大於六公尺。</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四、景觀設計與綠覆率：景觀設計之配置(不含喬木配置)變更部分未超過原核准之百分之十。基地綠覆率變更未超過原核准之百分之十，前項屋頂與平面層開放空間與景觀設計分開檢討。</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五、喬木配置：喬木配置與數量變更設計未超過原核准之百分之十者。</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六、建築造型及色彩：建築立面色彩或材質變更，且變更面積未超過原核准之百分之十者，以各向建築立面正面投影面積計算分別檢討之。</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七、停車位數量：減少停車位未達十部。</w:t>
      </w:r>
    </w:p>
    <w:p w:rsidR="00635634" w:rsidRPr="00912107" w:rsidRDefault="00635634" w:rsidP="00635634">
      <w:pPr>
        <w:pStyle w:val="a5"/>
        <w:spacing w:line="460" w:lineRule="exact"/>
        <w:ind w:left="851" w:hanging="851"/>
        <w:rPr>
          <w:rFonts w:ascii="標楷體" w:eastAsia="標楷體" w:hAnsi="標楷體" w:hint="eastAsia"/>
          <w:color w:val="auto"/>
          <w:kern w:val="0"/>
        </w:rPr>
      </w:pPr>
      <w:r>
        <w:rPr>
          <w:rFonts w:ascii="標楷體" w:eastAsia="標楷體" w:hAnsi="標楷體" w:hint="eastAsia"/>
          <w:color w:val="auto"/>
          <w:kern w:val="0"/>
        </w:rPr>
        <w:t xml:space="preserve">        </w:t>
      </w:r>
      <w:r w:rsidRPr="00912107">
        <w:rPr>
          <w:rFonts w:ascii="標楷體" w:eastAsia="標楷體" w:hAnsi="標楷體" w:hint="eastAsia"/>
          <w:color w:val="auto"/>
          <w:kern w:val="0"/>
        </w:rPr>
        <w:t>符合</w:t>
      </w:r>
      <w:r>
        <w:rPr>
          <w:rFonts w:ascii="標楷體" w:eastAsia="標楷體" w:hAnsi="標楷體" w:hint="eastAsia"/>
          <w:color w:val="auto"/>
          <w:kern w:val="0"/>
        </w:rPr>
        <w:t>第一項規定之</w:t>
      </w:r>
      <w:r w:rsidRPr="00912107">
        <w:rPr>
          <w:rFonts w:ascii="標楷體" w:eastAsia="標楷體" w:hAnsi="標楷體" w:hint="eastAsia"/>
          <w:color w:val="auto"/>
          <w:kern w:val="0"/>
        </w:rPr>
        <w:t>案件者，應檢附變更設計報告書，</w:t>
      </w:r>
      <w:proofErr w:type="gramStart"/>
      <w:r w:rsidRPr="00912107">
        <w:rPr>
          <w:rFonts w:ascii="標楷體" w:eastAsia="標楷體" w:hAnsi="標楷體" w:hint="eastAsia"/>
          <w:color w:val="auto"/>
          <w:kern w:val="0"/>
        </w:rPr>
        <w:t>送都發</w:t>
      </w:r>
      <w:proofErr w:type="gramEnd"/>
      <w:r w:rsidRPr="00912107">
        <w:rPr>
          <w:rFonts w:ascii="標楷體" w:eastAsia="標楷體" w:hAnsi="標楷體" w:hint="eastAsia"/>
          <w:color w:val="auto"/>
          <w:kern w:val="0"/>
        </w:rPr>
        <w:t>局辦理書面審查</w:t>
      </w:r>
      <w:r>
        <w:rPr>
          <w:rFonts w:ascii="標楷體" w:eastAsia="標楷體" w:hAnsi="標楷體" w:hint="eastAsia"/>
          <w:color w:val="auto"/>
          <w:kern w:val="0"/>
        </w:rPr>
        <w:t>；</w:t>
      </w:r>
      <w:r w:rsidRPr="00912107">
        <w:rPr>
          <w:rFonts w:ascii="標楷體" w:eastAsia="標楷體" w:hAnsi="標楷體" w:hint="eastAsia"/>
          <w:color w:val="auto"/>
          <w:kern w:val="0"/>
        </w:rPr>
        <w:t>其變更設計報告書須包含變更前、後之申請書及圖面，變更圖說需以紅色雲朵</w:t>
      </w:r>
      <w:proofErr w:type="gramStart"/>
      <w:r w:rsidRPr="00912107">
        <w:rPr>
          <w:rFonts w:ascii="標楷體" w:eastAsia="標楷體" w:hAnsi="標楷體" w:hint="eastAsia"/>
          <w:color w:val="auto"/>
          <w:kern w:val="0"/>
        </w:rPr>
        <w:t>符號標柱</w:t>
      </w:r>
      <w:proofErr w:type="gramEnd"/>
      <w:r w:rsidRPr="00912107">
        <w:rPr>
          <w:rFonts w:ascii="標楷體" w:eastAsia="標楷體" w:hAnsi="標楷體" w:hint="eastAsia"/>
          <w:color w:val="auto"/>
          <w:kern w:val="0"/>
        </w:rPr>
        <w:t>，並加</w:t>
      </w:r>
      <w:proofErr w:type="gramStart"/>
      <w:r w:rsidRPr="00912107">
        <w:rPr>
          <w:rFonts w:ascii="標楷體" w:eastAsia="標楷體" w:hAnsi="標楷體" w:hint="eastAsia"/>
          <w:color w:val="auto"/>
          <w:kern w:val="0"/>
        </w:rPr>
        <w:t>註</w:t>
      </w:r>
      <w:proofErr w:type="gramEnd"/>
      <w:r w:rsidRPr="00912107">
        <w:rPr>
          <w:rFonts w:ascii="標楷體" w:eastAsia="標楷體" w:hAnsi="標楷體" w:hint="eastAsia"/>
          <w:color w:val="auto"/>
          <w:kern w:val="0"/>
        </w:rPr>
        <w:t>變更設計項目說明。</w:t>
      </w:r>
    </w:p>
    <w:p w:rsidR="00635634" w:rsidRPr="00912107" w:rsidRDefault="00635634" w:rsidP="00635634">
      <w:pPr>
        <w:pStyle w:val="a5"/>
        <w:spacing w:line="460" w:lineRule="exact"/>
        <w:ind w:left="851" w:hanging="851"/>
        <w:rPr>
          <w:rFonts w:ascii="標楷體" w:eastAsia="標楷體" w:hAnsi="標楷體" w:hint="eastAsia"/>
          <w:color w:val="auto"/>
          <w:kern w:val="0"/>
        </w:rPr>
      </w:pPr>
      <w:r>
        <w:rPr>
          <w:rFonts w:ascii="標楷體" w:eastAsia="標楷體" w:hAnsi="標楷體" w:hint="eastAsia"/>
          <w:color w:val="auto"/>
          <w:kern w:val="0"/>
        </w:rPr>
        <w:t xml:space="preserve">        </w:t>
      </w:r>
      <w:r w:rsidRPr="00687B5E">
        <w:rPr>
          <w:rFonts w:ascii="標楷體" w:eastAsia="標楷體" w:hAnsi="標楷體" w:hint="eastAsia"/>
          <w:kern w:val="0"/>
        </w:rPr>
        <w:t>申請案變更設計次數超過一次，</w:t>
      </w:r>
      <w:r>
        <w:rPr>
          <w:rFonts w:ascii="標楷體" w:eastAsia="標楷體" w:hAnsi="標楷體" w:hint="eastAsia"/>
          <w:kern w:val="0"/>
        </w:rPr>
        <w:t>檢討項目內容</w:t>
      </w:r>
      <w:r w:rsidRPr="00687B5E">
        <w:rPr>
          <w:rFonts w:ascii="標楷體" w:eastAsia="標楷體" w:hAnsi="標楷體" w:hint="eastAsia"/>
          <w:kern w:val="0"/>
        </w:rPr>
        <w:t>以累計方式計算，累計超過免辦理景觀審議變更或幹事會</w:t>
      </w:r>
      <w:r w:rsidRPr="002C63A2">
        <w:rPr>
          <w:rFonts w:ascii="Calibri" w:eastAsia="標楷體" w:hAnsi="Calibri" w:hint="eastAsia"/>
          <w:szCs w:val="24"/>
        </w:rPr>
        <w:t>審查</w:t>
      </w:r>
      <w:r>
        <w:rPr>
          <w:rFonts w:ascii="Calibri" w:eastAsia="標楷體" w:hAnsi="Calibri" w:hint="eastAsia"/>
          <w:szCs w:val="24"/>
        </w:rPr>
        <w:t>規模</w:t>
      </w:r>
      <w:r w:rsidRPr="00687B5E">
        <w:rPr>
          <w:rFonts w:ascii="標楷體" w:eastAsia="標楷體" w:hAnsi="標楷體" w:hint="eastAsia"/>
          <w:kern w:val="0"/>
        </w:rPr>
        <w:t>者，</w:t>
      </w:r>
      <w:r w:rsidRPr="00BD0FFA">
        <w:rPr>
          <w:rFonts w:ascii="標楷體" w:eastAsia="標楷體" w:hAnsi="標楷體" w:hint="eastAsia"/>
          <w:kern w:val="0"/>
        </w:rPr>
        <w:t>應</w:t>
      </w:r>
      <w:r w:rsidRPr="00687B5E">
        <w:rPr>
          <w:rFonts w:ascii="標楷體" w:eastAsia="標楷體" w:hAnsi="標楷體" w:hint="eastAsia"/>
          <w:kern w:val="0"/>
        </w:rPr>
        <w:t>依</w:t>
      </w:r>
      <w:proofErr w:type="gramStart"/>
      <w:r w:rsidRPr="00687B5E">
        <w:rPr>
          <w:rFonts w:ascii="標楷體" w:eastAsia="標楷體" w:hAnsi="標楷體" w:hint="eastAsia"/>
          <w:kern w:val="0"/>
        </w:rPr>
        <w:t>規</w:t>
      </w:r>
      <w:proofErr w:type="gramEnd"/>
      <w:r w:rsidRPr="00687B5E">
        <w:rPr>
          <w:rFonts w:ascii="標楷體" w:eastAsia="標楷體" w:hAnsi="標楷體" w:hint="eastAsia"/>
          <w:kern w:val="0"/>
        </w:rPr>
        <w:t>辦理大坑景觀審議變更設計。</w:t>
      </w:r>
      <w:r>
        <w:rPr>
          <w:rFonts w:ascii="標楷體" w:eastAsia="標楷體" w:hAnsi="標楷體" w:hint="eastAsia"/>
          <w:kern w:val="0"/>
        </w:rPr>
        <w:t>檢討項目內容之</w:t>
      </w:r>
      <w:r w:rsidRPr="00687B5E">
        <w:rPr>
          <w:rFonts w:ascii="標楷體" w:eastAsia="標楷體" w:hAnsi="標楷體" w:hint="eastAsia"/>
          <w:kern w:val="0"/>
        </w:rPr>
        <w:t>累計</w:t>
      </w:r>
      <w:r>
        <w:rPr>
          <w:rFonts w:ascii="標楷體" w:eastAsia="標楷體" w:hAnsi="標楷體" w:hint="eastAsia"/>
          <w:kern w:val="0"/>
        </w:rPr>
        <w:t>，經提送</w:t>
      </w:r>
      <w:r w:rsidRPr="00687B5E">
        <w:rPr>
          <w:rFonts w:ascii="標楷體" w:eastAsia="標楷體" w:hAnsi="標楷體" w:hint="eastAsia"/>
          <w:kern w:val="0"/>
        </w:rPr>
        <w:t>至本委員</w:t>
      </w:r>
      <w:r w:rsidRPr="00687B5E">
        <w:rPr>
          <w:rFonts w:ascii="Calibri" w:eastAsia="標楷體" w:hAnsi="Calibri" w:hint="eastAsia"/>
          <w:szCs w:val="24"/>
        </w:rPr>
        <w:t>會審議後，得重新累計。</w:t>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第五條</w:t>
      </w:r>
      <w:r>
        <w:rPr>
          <w:rFonts w:ascii="標楷體" w:eastAsia="標楷體" w:hAnsi="標楷體" w:hint="eastAsia"/>
          <w:color w:val="auto"/>
          <w:kern w:val="0"/>
        </w:rPr>
        <w:t xml:space="preserve">  </w:t>
      </w:r>
      <w:r w:rsidRPr="002C63A2">
        <w:rPr>
          <w:rFonts w:ascii="Calibri" w:eastAsia="標楷體" w:hAnsi="Calibri" w:hint="eastAsia"/>
        </w:rPr>
        <w:t>本特定區之整體景觀，應考量基地</w:t>
      </w:r>
      <w:r w:rsidRPr="002C63A2">
        <w:rPr>
          <w:rFonts w:ascii="Calibri" w:eastAsia="標楷體" w:hAnsi="Calibri" w:hint="eastAsia"/>
          <w:szCs w:val="24"/>
        </w:rPr>
        <w:t>周邊</w:t>
      </w:r>
      <w:r w:rsidRPr="002C63A2">
        <w:rPr>
          <w:rFonts w:ascii="Calibri" w:eastAsia="標楷體" w:hAnsi="Calibri" w:hint="eastAsia"/>
        </w:rPr>
        <w:t>及原存景觀</w:t>
      </w:r>
      <w:r w:rsidRPr="002C63A2">
        <w:rPr>
          <w:rFonts w:ascii="Calibri" w:eastAsia="標楷體" w:hAnsi="Calibri" w:hint="eastAsia"/>
          <w:szCs w:val="24"/>
        </w:rPr>
        <w:t>元素</w:t>
      </w:r>
      <w:r w:rsidRPr="002C63A2">
        <w:rPr>
          <w:rFonts w:ascii="Calibri" w:eastAsia="標楷體" w:hAnsi="Calibri" w:hint="eastAsia"/>
        </w:rPr>
        <w:t>，盡量維持原有自然地形地勢、水文水路與植生適當配合，</w:t>
      </w:r>
      <w:r>
        <w:rPr>
          <w:rFonts w:ascii="Calibri" w:eastAsia="標楷體" w:hAnsi="Calibri" w:hint="eastAsia"/>
        </w:rPr>
        <w:t>及開發</w:t>
      </w:r>
      <w:r>
        <w:rPr>
          <w:rFonts w:ascii="Calibri" w:eastAsia="標楷體" w:hAnsi="Calibri" w:hint="eastAsia"/>
        </w:rPr>
        <w:lastRenderedPageBreak/>
        <w:t>後之</w:t>
      </w:r>
      <w:proofErr w:type="gramStart"/>
      <w:r>
        <w:rPr>
          <w:rFonts w:ascii="Calibri" w:eastAsia="標楷體" w:hAnsi="Calibri" w:hint="eastAsia"/>
        </w:rPr>
        <w:t>逕</w:t>
      </w:r>
      <w:proofErr w:type="gramEnd"/>
      <w:r>
        <w:rPr>
          <w:rFonts w:ascii="Calibri" w:eastAsia="標楷體" w:hAnsi="Calibri" w:hint="eastAsia"/>
        </w:rPr>
        <w:t>流水，</w:t>
      </w:r>
      <w:r w:rsidRPr="002C63A2">
        <w:rPr>
          <w:rFonts w:ascii="Calibri" w:eastAsia="標楷體" w:hAnsi="Calibri" w:hint="eastAsia"/>
        </w:rPr>
        <w:t>並應尊</w:t>
      </w:r>
      <w:r w:rsidRPr="00F95EDA">
        <w:rPr>
          <w:rFonts w:ascii="Calibri" w:eastAsia="標楷體" w:hAnsi="Calibri" w:hint="eastAsia"/>
        </w:rPr>
        <w:t>重自然生態與歷史文化紋理</w:t>
      </w:r>
      <w:r>
        <w:rPr>
          <w:rFonts w:ascii="Calibri" w:eastAsia="標楷體" w:hAnsi="Calibri" w:hint="eastAsia"/>
        </w:rPr>
        <w:t>及以低衝擊方式規劃</w:t>
      </w:r>
      <w:r w:rsidRPr="00F95EDA">
        <w:rPr>
          <w:rFonts w:ascii="Calibri" w:eastAsia="標楷體" w:hAnsi="Calibri" w:hint="eastAsia"/>
        </w:rPr>
        <w:t>。</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 xml:space="preserve">第六條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本特定區之公共開放空間系統，應整合廣場、公園、綠地、兒童遊樂場用地、機關用地等公共設施用地及建築基地留設之開放空間，並結合生態滯洪設施，建構整體綠地系統。</w:t>
      </w:r>
      <w:r w:rsidRPr="00912107">
        <w:rPr>
          <w:rFonts w:ascii="標楷體" w:eastAsia="標楷體" w:hAnsi="標楷體" w:hint="eastAsia"/>
          <w:color w:val="auto"/>
          <w:kern w:val="0"/>
        </w:rPr>
        <w:tab/>
      </w:r>
    </w:p>
    <w:p w:rsidR="00635634" w:rsidRDefault="00635634" w:rsidP="00635634">
      <w:pPr>
        <w:pStyle w:val="a5"/>
        <w:spacing w:line="460" w:lineRule="exact"/>
        <w:ind w:left="851" w:hanging="851"/>
        <w:rPr>
          <w:rFonts w:ascii="標楷體" w:eastAsia="標楷體" w:hAnsi="標楷體"/>
          <w:color w:val="auto"/>
          <w:kern w:val="0"/>
        </w:rPr>
      </w:pPr>
      <w:r w:rsidRPr="00912107">
        <w:rPr>
          <w:rFonts w:ascii="標楷體" w:eastAsia="標楷體" w:hAnsi="標楷體" w:hint="eastAsia"/>
          <w:color w:val="auto"/>
          <w:kern w:val="0"/>
        </w:rPr>
        <w:t xml:space="preserve">第七條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本特定區之植栽設計，應</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喬木、灌木、</w:t>
      </w:r>
      <w:proofErr w:type="gramStart"/>
      <w:r w:rsidRPr="00912107">
        <w:rPr>
          <w:rFonts w:ascii="標楷體" w:eastAsia="標楷體" w:hAnsi="標楷體" w:hint="eastAsia"/>
          <w:color w:val="auto"/>
          <w:kern w:val="0"/>
        </w:rPr>
        <w:t>蔓性植</w:t>
      </w:r>
      <w:proofErr w:type="gramEnd"/>
      <w:r w:rsidRPr="00912107">
        <w:rPr>
          <w:rFonts w:ascii="標楷體" w:eastAsia="標楷體" w:hAnsi="標楷體" w:hint="eastAsia"/>
          <w:color w:val="auto"/>
          <w:kern w:val="0"/>
        </w:rPr>
        <w:t>栽、草花、地被植物及草皮搭配設計，以多樣性及</w:t>
      </w:r>
      <w:proofErr w:type="gramStart"/>
      <w:r w:rsidRPr="00912107">
        <w:rPr>
          <w:rFonts w:ascii="標楷體" w:eastAsia="標楷體" w:hAnsi="標楷體" w:hint="eastAsia"/>
          <w:color w:val="auto"/>
          <w:kern w:val="0"/>
        </w:rPr>
        <w:t>複層植</w:t>
      </w:r>
      <w:proofErr w:type="gramEnd"/>
      <w:r w:rsidRPr="00912107">
        <w:rPr>
          <w:rFonts w:ascii="標楷體" w:eastAsia="標楷體" w:hAnsi="標楷體" w:hint="eastAsia"/>
          <w:color w:val="auto"/>
          <w:kern w:val="0"/>
        </w:rPr>
        <w:t>栽方式設計。</w:t>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 xml:space="preserve">第八條 </w:t>
      </w:r>
      <w:r>
        <w:rPr>
          <w:rFonts w:ascii="標楷體" w:eastAsia="標楷體" w:hAnsi="標楷體" w:hint="eastAsia"/>
          <w:color w:val="auto"/>
          <w:kern w:val="0"/>
        </w:rPr>
        <w:t xml:space="preserve"> </w:t>
      </w:r>
      <w:r w:rsidRPr="003214D9">
        <w:rPr>
          <w:rFonts w:ascii="標楷體" w:eastAsia="標楷體" w:hAnsi="標楷體" w:hint="eastAsia"/>
          <w:color w:val="auto"/>
          <w:kern w:val="0"/>
        </w:rPr>
        <w:t>本特定區之公共開放空間樹種，應考慮生物多樣性之植栽設計，並依下列原則選定</w:t>
      </w:r>
      <w:r w:rsidRPr="00912107">
        <w:rPr>
          <w:rFonts w:ascii="標楷體" w:eastAsia="標楷體" w:hAnsi="標楷體" w:hint="eastAsia"/>
          <w:color w:val="auto"/>
          <w:kern w:val="0"/>
        </w:rPr>
        <w:t>：</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一、</w:t>
      </w:r>
      <w:r w:rsidRPr="00DE7849">
        <w:rPr>
          <w:rFonts w:ascii="標楷體" w:eastAsia="標楷體" w:hAnsi="標楷體" w:hint="eastAsia"/>
          <w:kern w:val="0"/>
        </w:rPr>
        <w:t>喬木以可遮蔭，能</w:t>
      </w:r>
      <w:proofErr w:type="gramStart"/>
      <w:r w:rsidRPr="00DE7849">
        <w:rPr>
          <w:rFonts w:ascii="標楷體" w:eastAsia="標楷體" w:hAnsi="標楷體" w:hint="eastAsia"/>
          <w:kern w:val="0"/>
        </w:rPr>
        <w:t>誘</w:t>
      </w:r>
      <w:proofErr w:type="gramEnd"/>
      <w:r w:rsidRPr="00DE7849">
        <w:rPr>
          <w:rFonts w:ascii="標楷體" w:eastAsia="標楷體" w:hAnsi="標楷體" w:hint="eastAsia"/>
          <w:kern w:val="0"/>
        </w:rPr>
        <w:t>蝶、</w:t>
      </w:r>
      <w:proofErr w:type="gramStart"/>
      <w:r w:rsidRPr="00DE7849">
        <w:rPr>
          <w:rFonts w:ascii="標楷體" w:eastAsia="標楷體" w:hAnsi="標楷體" w:hint="eastAsia"/>
          <w:kern w:val="0"/>
        </w:rPr>
        <w:t>誘</w:t>
      </w:r>
      <w:proofErr w:type="gramEnd"/>
      <w:r w:rsidRPr="00DE7849">
        <w:rPr>
          <w:rFonts w:ascii="標楷體" w:eastAsia="標楷體" w:hAnsi="標楷體" w:hint="eastAsia"/>
          <w:kern w:val="0"/>
        </w:rPr>
        <w:t>鳥及避免易</w:t>
      </w:r>
      <w:proofErr w:type="gramStart"/>
      <w:r w:rsidRPr="00DE7849">
        <w:rPr>
          <w:rFonts w:ascii="標楷體" w:eastAsia="標楷體" w:hAnsi="標楷體" w:hint="eastAsia"/>
          <w:kern w:val="0"/>
        </w:rPr>
        <w:t>有浮根</w:t>
      </w:r>
      <w:r>
        <w:rPr>
          <w:rFonts w:ascii="標楷體" w:eastAsia="標楷體" w:hAnsi="標楷體" w:hint="eastAsia"/>
          <w:kern w:val="0"/>
        </w:rPr>
        <w:t>之</w:t>
      </w:r>
      <w:proofErr w:type="gramEnd"/>
      <w:r w:rsidRPr="00DE7849">
        <w:rPr>
          <w:rFonts w:ascii="標楷體" w:eastAsia="標楷體" w:hAnsi="標楷體" w:hint="eastAsia"/>
          <w:kern w:val="0"/>
        </w:rPr>
        <w:t>樹種</w:t>
      </w:r>
      <w:r w:rsidRPr="00912107">
        <w:rPr>
          <w:rFonts w:ascii="標楷體" w:eastAsia="標楷體" w:hAnsi="標楷體" w:hint="eastAsia"/>
          <w:color w:val="auto"/>
          <w:kern w:val="0"/>
        </w:rPr>
        <w:t>。</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二、</w:t>
      </w:r>
      <w:r w:rsidRPr="00DE7849">
        <w:rPr>
          <w:rFonts w:ascii="標楷體" w:eastAsia="標楷體" w:hAnsi="標楷體" w:hint="eastAsia"/>
          <w:kern w:val="0"/>
          <w:szCs w:val="24"/>
        </w:rPr>
        <w:t>灌木以</w:t>
      </w:r>
      <w:proofErr w:type="gramStart"/>
      <w:r w:rsidRPr="00DE7849">
        <w:rPr>
          <w:rFonts w:ascii="標楷體" w:eastAsia="標楷體" w:hAnsi="標楷體" w:hint="eastAsia"/>
          <w:kern w:val="0"/>
          <w:szCs w:val="24"/>
        </w:rPr>
        <w:t>誘</w:t>
      </w:r>
      <w:proofErr w:type="gramEnd"/>
      <w:r w:rsidRPr="00DE7849">
        <w:rPr>
          <w:rFonts w:ascii="標楷體" w:eastAsia="標楷體" w:hAnsi="標楷體" w:hint="eastAsia"/>
          <w:kern w:val="0"/>
          <w:szCs w:val="24"/>
        </w:rPr>
        <w:t>蝶、</w:t>
      </w:r>
      <w:proofErr w:type="gramStart"/>
      <w:r w:rsidRPr="00DE7849">
        <w:rPr>
          <w:rFonts w:ascii="標楷體" w:eastAsia="標楷體" w:hAnsi="標楷體" w:hint="eastAsia"/>
          <w:kern w:val="0"/>
          <w:szCs w:val="24"/>
        </w:rPr>
        <w:t>誘</w:t>
      </w:r>
      <w:proofErr w:type="gramEnd"/>
      <w:r w:rsidRPr="00DE7849">
        <w:rPr>
          <w:rFonts w:ascii="標楷體" w:eastAsia="標楷體" w:hAnsi="標楷體" w:hint="eastAsia"/>
          <w:kern w:val="0"/>
          <w:szCs w:val="24"/>
        </w:rPr>
        <w:t>鳥之樹種</w:t>
      </w:r>
      <w:r w:rsidRPr="00912107">
        <w:rPr>
          <w:rFonts w:ascii="標楷體" w:eastAsia="標楷體" w:hAnsi="標楷體" w:hint="eastAsia"/>
          <w:color w:val="auto"/>
          <w:kern w:val="0"/>
        </w:rPr>
        <w:t>。</w:t>
      </w:r>
    </w:p>
    <w:p w:rsidR="00635634" w:rsidRDefault="00635634" w:rsidP="00635634">
      <w:pPr>
        <w:pStyle w:val="a5"/>
        <w:spacing w:line="460" w:lineRule="exact"/>
        <w:ind w:left="1638" w:hanging="504"/>
        <w:rPr>
          <w:rFonts w:ascii="標楷體" w:eastAsia="標楷體" w:hAnsi="標楷體"/>
          <w:color w:val="auto"/>
          <w:kern w:val="0"/>
        </w:rPr>
      </w:pPr>
      <w:r w:rsidRPr="00912107">
        <w:rPr>
          <w:rFonts w:ascii="標楷體" w:eastAsia="標楷體" w:hAnsi="標楷體" w:hint="eastAsia"/>
          <w:color w:val="auto"/>
          <w:kern w:val="0"/>
        </w:rPr>
        <w:t>三、</w:t>
      </w:r>
      <w:r w:rsidRPr="00DE7849">
        <w:rPr>
          <w:rFonts w:ascii="標楷體" w:eastAsia="標楷體" w:hAnsi="標楷體" w:hint="eastAsia"/>
          <w:kern w:val="0"/>
        </w:rPr>
        <w:t>優先選擇適</w:t>
      </w:r>
      <w:r>
        <w:rPr>
          <w:rFonts w:ascii="標楷體" w:eastAsia="標楷體" w:hAnsi="標楷體" w:hint="eastAsia"/>
          <w:kern w:val="0"/>
        </w:rPr>
        <w:t>合</w:t>
      </w:r>
      <w:r w:rsidRPr="00DE7849">
        <w:rPr>
          <w:rFonts w:ascii="標楷體" w:eastAsia="標楷體" w:hAnsi="標楷體" w:hint="eastAsia"/>
          <w:kern w:val="0"/>
        </w:rPr>
        <w:t>於當地氣候且具地區特色之樹種</w:t>
      </w:r>
      <w:r w:rsidRPr="00912107">
        <w:rPr>
          <w:rFonts w:ascii="標楷體" w:eastAsia="標楷體" w:hAnsi="標楷體" w:hint="eastAsia"/>
          <w:color w:val="auto"/>
          <w:kern w:val="0"/>
        </w:rPr>
        <w:t>。</w:t>
      </w:r>
    </w:p>
    <w:p w:rsidR="00635634" w:rsidRPr="00912107" w:rsidRDefault="00635634" w:rsidP="00635634">
      <w:pPr>
        <w:pStyle w:val="a5"/>
        <w:spacing w:line="460" w:lineRule="exact"/>
        <w:ind w:left="1638" w:hanging="504"/>
        <w:rPr>
          <w:rFonts w:ascii="標楷體" w:eastAsia="標楷體" w:hAnsi="標楷體"/>
          <w:color w:val="auto"/>
          <w:kern w:val="0"/>
        </w:rPr>
      </w:pPr>
      <w:r>
        <w:rPr>
          <w:rFonts w:ascii="標楷體" w:eastAsia="標楷體" w:hAnsi="標楷體" w:hint="eastAsia"/>
          <w:color w:val="auto"/>
          <w:kern w:val="0"/>
        </w:rPr>
        <w:t>四、</w:t>
      </w:r>
      <w:proofErr w:type="gramStart"/>
      <w:r w:rsidRPr="00DE7849">
        <w:rPr>
          <w:rFonts w:ascii="標楷體" w:eastAsia="標楷體" w:hAnsi="標楷體" w:hint="eastAsia"/>
          <w:kern w:val="0"/>
        </w:rPr>
        <w:t>具季相變</w:t>
      </w:r>
      <w:proofErr w:type="gramEnd"/>
      <w:r w:rsidRPr="00DE7849">
        <w:rPr>
          <w:rFonts w:ascii="標楷體" w:eastAsia="標楷體" w:hAnsi="標楷體" w:hint="eastAsia"/>
          <w:kern w:val="0"/>
        </w:rPr>
        <w:t>化，且為</w:t>
      </w:r>
      <w:proofErr w:type="gramStart"/>
      <w:r w:rsidRPr="00DE7849">
        <w:rPr>
          <w:rFonts w:ascii="標楷體" w:eastAsia="標楷體" w:hAnsi="標楷體" w:hint="eastAsia"/>
          <w:kern w:val="0"/>
        </w:rPr>
        <w:t>減碳、防汙</w:t>
      </w:r>
      <w:proofErr w:type="gramEnd"/>
      <w:r w:rsidRPr="00DE7849">
        <w:rPr>
          <w:rFonts w:ascii="標楷體" w:eastAsia="標楷體" w:hAnsi="標楷體" w:hint="eastAsia"/>
          <w:kern w:val="0"/>
        </w:rPr>
        <w:t>、</w:t>
      </w:r>
      <w:proofErr w:type="gramStart"/>
      <w:r w:rsidRPr="00DE7849">
        <w:rPr>
          <w:rFonts w:ascii="標楷體" w:eastAsia="標楷體" w:hAnsi="標楷體" w:hint="eastAsia"/>
          <w:kern w:val="0"/>
        </w:rPr>
        <w:t>耐旱等無</w:t>
      </w:r>
      <w:proofErr w:type="gramEnd"/>
      <w:r w:rsidRPr="00DE7849">
        <w:rPr>
          <w:rFonts w:ascii="標楷體" w:eastAsia="標楷體" w:hAnsi="標楷體" w:hint="eastAsia"/>
          <w:kern w:val="0"/>
        </w:rPr>
        <w:t>惡臭、無直接危害人體健康，易於維護管理之樹種</w:t>
      </w:r>
      <w:r>
        <w:rPr>
          <w:rFonts w:ascii="標楷體" w:eastAsia="標楷體" w:hAnsi="標楷體" w:hint="eastAsia"/>
          <w:kern w:val="0"/>
        </w:rPr>
        <w:t>。</w:t>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第九條 本</w:t>
      </w:r>
      <w:r w:rsidRPr="00687B5E">
        <w:rPr>
          <w:rFonts w:ascii="標楷體" w:eastAsia="標楷體" w:hAnsi="標楷體" w:hint="eastAsia"/>
          <w:kern w:val="0"/>
        </w:rPr>
        <w:t>特定區之公有行道樹選定，應配合季節</w:t>
      </w:r>
      <w:proofErr w:type="gramStart"/>
      <w:r w:rsidRPr="00687B5E">
        <w:rPr>
          <w:rFonts w:ascii="標楷體" w:eastAsia="標楷體" w:hAnsi="標楷體" w:hint="eastAsia"/>
          <w:kern w:val="0"/>
        </w:rPr>
        <w:t>變化選植喬木</w:t>
      </w:r>
      <w:proofErr w:type="gramEnd"/>
      <w:r w:rsidRPr="00912107">
        <w:rPr>
          <w:rFonts w:ascii="標楷體" w:eastAsia="標楷體" w:hAnsi="標楷體" w:hint="eastAsia"/>
          <w:color w:val="auto"/>
          <w:kern w:val="0"/>
        </w:rPr>
        <w:t>。</w:t>
      </w:r>
    </w:p>
    <w:p w:rsidR="00635634" w:rsidRPr="00912107" w:rsidRDefault="00635634" w:rsidP="00635634">
      <w:pPr>
        <w:pStyle w:val="a5"/>
        <w:spacing w:line="460" w:lineRule="exact"/>
        <w:ind w:left="851" w:hanging="851"/>
        <w:rPr>
          <w:rFonts w:ascii="標楷體" w:eastAsia="標楷體" w:hAnsi="標楷體"/>
          <w:color w:val="auto"/>
          <w:kern w:val="0"/>
        </w:rPr>
      </w:pPr>
      <w:r w:rsidRPr="00912107">
        <w:rPr>
          <w:rFonts w:ascii="標楷體" w:eastAsia="標楷體" w:hAnsi="標楷體" w:hint="eastAsia"/>
          <w:color w:val="auto"/>
          <w:kern w:val="0"/>
        </w:rPr>
        <w:t xml:space="preserve">       </w:t>
      </w:r>
      <w:r w:rsidRPr="003214D9">
        <w:rPr>
          <w:rFonts w:ascii="標楷體" w:eastAsia="標楷體" w:hAnsi="標楷體" w:hint="eastAsia"/>
          <w:color w:val="auto"/>
          <w:kern w:val="0"/>
        </w:rPr>
        <w:t>前項喬木配置，應考量生態多樣性，不以單一樹種為限；其植穴，應以帶狀設計為原則</w:t>
      </w:r>
      <w:r w:rsidRPr="00912107">
        <w:rPr>
          <w:rFonts w:ascii="標楷體" w:eastAsia="標楷體" w:hAnsi="標楷體" w:hint="eastAsia"/>
          <w:color w:val="auto"/>
          <w:kern w:val="0"/>
        </w:rPr>
        <w:t>。</w:t>
      </w:r>
      <w:r w:rsidRPr="00912107">
        <w:rPr>
          <w:rFonts w:ascii="標楷體" w:eastAsia="標楷體" w:hAnsi="標楷體"/>
          <w:color w:val="auto"/>
          <w:kern w:val="0"/>
        </w:rPr>
        <w:tab/>
      </w:r>
    </w:p>
    <w:p w:rsidR="00635634" w:rsidRPr="00912107" w:rsidRDefault="00635634" w:rsidP="00635634">
      <w:pPr>
        <w:pStyle w:val="a5"/>
        <w:spacing w:line="460" w:lineRule="exact"/>
        <w:ind w:left="851" w:hanging="851"/>
        <w:rPr>
          <w:rFonts w:ascii="標楷體" w:eastAsia="標楷體" w:hAnsi="標楷體" w:hint="eastAsia"/>
          <w:color w:val="auto"/>
          <w:kern w:val="0"/>
        </w:rPr>
      </w:pPr>
      <w:r w:rsidRPr="00912107">
        <w:rPr>
          <w:rFonts w:ascii="標楷體" w:eastAsia="標楷體" w:hAnsi="標楷體" w:hint="eastAsia"/>
          <w:color w:val="auto"/>
          <w:kern w:val="0"/>
        </w:rPr>
        <w:t>第十條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本特定區之照明設計，應避免造成光害及影響生態，光源照射方向</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向下式照射為原則，並</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下列原則設計：</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一、車行道路：</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高明度、高光源。</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二、公有人行道：以柔和暖色、低光源。</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三、指定退縮地：延續鄰地人行通道及公有人行道</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系統性設計。</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四、指定退縮地以外之空間：應規劃整體照明設計，以暖色燈光為主，並</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分時規劃。</w:t>
      </w:r>
    </w:p>
    <w:p w:rsidR="00635634" w:rsidRPr="00912107" w:rsidRDefault="00635634" w:rsidP="00635634">
      <w:pPr>
        <w:pStyle w:val="a5"/>
        <w:spacing w:line="460" w:lineRule="exact"/>
        <w:ind w:left="1638" w:hanging="504"/>
        <w:rPr>
          <w:rFonts w:ascii="標楷體" w:eastAsia="標楷體" w:hAnsi="標楷體" w:hint="eastAsia"/>
          <w:color w:val="auto"/>
          <w:kern w:val="0"/>
        </w:rPr>
      </w:pPr>
      <w:r w:rsidRPr="00912107">
        <w:rPr>
          <w:rFonts w:ascii="標楷體" w:eastAsia="標楷體" w:hAnsi="標楷體" w:hint="eastAsia"/>
          <w:color w:val="auto"/>
          <w:kern w:val="0"/>
        </w:rPr>
        <w:t>五、建築物</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夜間照明設計者：應以分時、分段、分區規劃。</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lastRenderedPageBreak/>
        <w:t>第十</w:t>
      </w:r>
      <w:proofErr w:type="gramStart"/>
      <w:r>
        <w:rPr>
          <w:rFonts w:ascii="標楷體" w:eastAsia="標楷體" w:hAnsi="標楷體" w:hint="eastAsia"/>
          <w:color w:val="auto"/>
          <w:kern w:val="0"/>
        </w:rPr>
        <w:t>ㄧ</w:t>
      </w:r>
      <w:proofErr w:type="gramEnd"/>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本特定區之公用設備及管線，應配合周邊自然景觀及環境特色，</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地下化或綠美化處理為原則。</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Pr>
          <w:rFonts w:ascii="標楷體" w:eastAsia="標楷體" w:hAnsi="標楷體" w:hint="eastAsia"/>
          <w:color w:val="auto"/>
          <w:kern w:val="0"/>
        </w:rPr>
        <w:t>第十二</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本特定區之道路轉彎處及車道出入口，應注意視覺通透性，其</w:t>
      </w:r>
      <w:proofErr w:type="gramStart"/>
      <w:r w:rsidRPr="00912107">
        <w:rPr>
          <w:rFonts w:ascii="標楷體" w:eastAsia="標楷體" w:hAnsi="標楷體" w:hint="eastAsia"/>
          <w:color w:val="auto"/>
          <w:kern w:val="0"/>
        </w:rPr>
        <w:t>複層植</w:t>
      </w:r>
      <w:proofErr w:type="gramEnd"/>
      <w:r w:rsidRPr="00912107">
        <w:rPr>
          <w:rFonts w:ascii="標楷體" w:eastAsia="標楷體" w:hAnsi="標楷體" w:hint="eastAsia"/>
          <w:color w:val="auto"/>
          <w:kern w:val="0"/>
        </w:rPr>
        <w:t>栽之灌木高度，應低於 五十公分。</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前項停車場</w:t>
      </w:r>
      <w:r>
        <w:rPr>
          <w:rFonts w:ascii="標楷體" w:eastAsia="標楷體" w:hAnsi="標楷體" w:hint="eastAsia"/>
          <w:color w:val="auto"/>
          <w:kern w:val="0"/>
        </w:rPr>
        <w:t>車道</w:t>
      </w:r>
      <w:r w:rsidRPr="00912107">
        <w:rPr>
          <w:rFonts w:ascii="標楷體" w:eastAsia="標楷體" w:hAnsi="標楷體" w:hint="eastAsia"/>
          <w:color w:val="auto"/>
          <w:kern w:val="0"/>
        </w:rPr>
        <w:t>出入口，應自建築線後退二公尺之汽車出入口中心線上一點至道路中心之垂直線左右各六十度以上範圍，無礙視線設置緩衝空間（含人行道）。</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Pr>
          <w:rFonts w:ascii="標楷體" w:eastAsia="標楷體" w:hAnsi="標楷體" w:hint="eastAsia"/>
          <w:color w:val="auto"/>
          <w:kern w:val="0"/>
        </w:rPr>
        <w:t>第十三</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本特定區建築基地法定空地之綠覆率，以達百分之七十為原則。</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687B5E">
        <w:rPr>
          <w:rFonts w:ascii="標楷體" w:eastAsia="標楷體" w:hAnsi="標楷體" w:hint="eastAsia"/>
          <w:kern w:val="0"/>
        </w:rPr>
        <w:t>前項綠覆率</w:t>
      </w:r>
      <w:r>
        <w:rPr>
          <w:rFonts w:ascii="標楷體" w:eastAsia="標楷體" w:hAnsi="標楷體" w:hint="eastAsia"/>
          <w:kern w:val="0"/>
        </w:rPr>
        <w:t>，</w:t>
      </w:r>
      <w:r w:rsidRPr="00687B5E">
        <w:rPr>
          <w:rFonts w:ascii="標楷體" w:eastAsia="標楷體" w:hAnsi="標楷體" w:hint="eastAsia"/>
          <w:kern w:val="0"/>
        </w:rPr>
        <w:t>指建築基地法定空地</w:t>
      </w:r>
      <w:r>
        <w:rPr>
          <w:rFonts w:ascii="標楷體" w:eastAsia="標楷體" w:hAnsi="標楷體" w:hint="eastAsia"/>
          <w:kern w:val="0"/>
        </w:rPr>
        <w:t>範圍內所有</w:t>
      </w:r>
      <w:r w:rsidRPr="00687B5E">
        <w:rPr>
          <w:rFonts w:ascii="標楷體" w:eastAsia="標楷體" w:hAnsi="標楷體" w:hint="eastAsia"/>
          <w:kern w:val="0"/>
        </w:rPr>
        <w:t>由植被</w:t>
      </w:r>
      <w:r>
        <w:rPr>
          <w:rFonts w:ascii="標楷體" w:eastAsia="標楷體" w:hAnsi="標楷體" w:hint="eastAsia"/>
          <w:kern w:val="0"/>
        </w:rPr>
        <w:t>所覆蓋</w:t>
      </w:r>
      <w:r w:rsidRPr="00914510">
        <w:rPr>
          <w:rFonts w:ascii="標楷體" w:eastAsia="標楷體" w:hAnsi="標楷體" w:hint="eastAsia"/>
          <w:bCs/>
        </w:rPr>
        <w:t>面積</w:t>
      </w:r>
      <w:r w:rsidRPr="00687B5E">
        <w:rPr>
          <w:rFonts w:ascii="標楷體" w:eastAsia="標楷體" w:hAnsi="標楷體" w:hint="eastAsia"/>
          <w:kern w:val="0"/>
        </w:rPr>
        <w:t>與</w:t>
      </w:r>
      <w:r>
        <w:rPr>
          <w:rFonts w:ascii="標楷體" w:eastAsia="標楷體" w:hAnsi="標楷體" w:hint="eastAsia"/>
          <w:kern w:val="0"/>
        </w:rPr>
        <w:t>建築</w:t>
      </w:r>
      <w:r w:rsidRPr="00687B5E">
        <w:rPr>
          <w:rFonts w:ascii="標楷體" w:eastAsia="標楷體" w:hAnsi="標楷體" w:hint="eastAsia"/>
          <w:kern w:val="0"/>
        </w:rPr>
        <w:t>基地法定空地面積</w:t>
      </w:r>
      <w:r>
        <w:rPr>
          <w:rFonts w:ascii="標楷體" w:eastAsia="標楷體" w:hAnsi="標楷體" w:hint="eastAsia"/>
          <w:kern w:val="0"/>
        </w:rPr>
        <w:t>之</w:t>
      </w:r>
      <w:r w:rsidRPr="00687B5E">
        <w:rPr>
          <w:rFonts w:ascii="標楷體" w:eastAsia="標楷體" w:hAnsi="標楷體" w:hint="eastAsia"/>
          <w:kern w:val="0"/>
        </w:rPr>
        <w:t>百分比值。</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064" w:hanging="1064"/>
        <w:rPr>
          <w:rFonts w:ascii="標楷體" w:eastAsia="標楷體" w:hAnsi="標楷體"/>
          <w:color w:val="auto"/>
          <w:kern w:val="0"/>
        </w:rPr>
      </w:pPr>
      <w:r>
        <w:rPr>
          <w:rFonts w:ascii="標楷體" w:eastAsia="標楷體" w:hAnsi="標楷體" w:hint="eastAsia"/>
          <w:color w:val="auto"/>
          <w:kern w:val="0"/>
        </w:rPr>
        <w:t>第十四</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207D44">
        <w:rPr>
          <w:rFonts w:ascii="標楷體" w:eastAsia="標楷體" w:hAnsi="標楷體" w:hint="eastAsia"/>
          <w:color w:val="auto"/>
          <w:kern w:val="0"/>
        </w:rPr>
        <w:t>本特定區於申請基地之法定空地種植喬木，應以每三十六平方公尺種植一棵為原則，不足一棵者以一棵計，每案至少應種植三棵</w:t>
      </w:r>
      <w:r w:rsidRPr="00912107">
        <w:rPr>
          <w:rFonts w:ascii="標楷體" w:eastAsia="標楷體" w:hAnsi="標楷體" w:hint="eastAsia"/>
          <w:color w:val="auto"/>
          <w:kern w:val="0"/>
        </w:rPr>
        <w:t>。</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Pr>
          <w:rFonts w:ascii="標楷體" w:eastAsia="標楷體" w:hAnsi="標楷體" w:hint="eastAsia"/>
          <w:color w:val="auto"/>
          <w:kern w:val="0"/>
        </w:rPr>
        <w:t>第十五</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本特定區指定退縮地之人行通道及鋪面，應</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防滑材質，並延續鄰地人行通道及公有人行道色彩、材質，</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連續順平，並</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鋪面引水或入滲設計。</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前項以外之空間，應</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帶狀植穴設計，</w:t>
      </w:r>
      <w:proofErr w:type="gramStart"/>
      <w:r w:rsidRPr="00912107">
        <w:rPr>
          <w:rFonts w:ascii="標楷體" w:eastAsia="標楷體" w:hAnsi="標楷體" w:hint="eastAsia"/>
          <w:color w:val="auto"/>
          <w:kern w:val="0"/>
        </w:rPr>
        <w:t>植穴應與</w:t>
      </w:r>
      <w:proofErr w:type="gramEnd"/>
      <w:r w:rsidRPr="00912107">
        <w:rPr>
          <w:rFonts w:ascii="標楷體" w:eastAsia="標楷體" w:hAnsi="標楷體" w:hint="eastAsia"/>
          <w:color w:val="auto"/>
          <w:kern w:val="0"/>
        </w:rPr>
        <w:t>地面順平，並</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自然入滲設計。</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Pr>
          <w:rFonts w:ascii="標楷體" w:eastAsia="標楷體" w:hAnsi="標楷體" w:hint="eastAsia"/>
          <w:color w:val="auto"/>
          <w:kern w:val="0"/>
        </w:rPr>
        <w:t>第十六</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207D44">
        <w:rPr>
          <w:rFonts w:ascii="標楷體" w:eastAsia="標楷體" w:hAnsi="標楷體" w:hint="eastAsia"/>
          <w:color w:val="auto"/>
          <w:kern w:val="0"/>
        </w:rPr>
        <w:t>本特定區指定退縮地植栽及人行通道配置，應配合現有公有人行道，並符合下列規定</w:t>
      </w:r>
      <w:r w:rsidRPr="00912107">
        <w:rPr>
          <w:rFonts w:ascii="標楷體" w:eastAsia="標楷體" w:hAnsi="標楷體" w:hint="eastAsia"/>
          <w:color w:val="auto"/>
          <w:kern w:val="0"/>
        </w:rPr>
        <w:t>：</w:t>
      </w:r>
    </w:p>
    <w:p w:rsidR="00635634" w:rsidRPr="00FE1DFC" w:rsidRDefault="00635634" w:rsidP="00635634">
      <w:pPr>
        <w:pStyle w:val="a5"/>
        <w:spacing w:line="460" w:lineRule="exact"/>
        <w:ind w:left="1904" w:hanging="486"/>
        <w:rPr>
          <w:rFonts w:ascii="標楷體" w:eastAsia="標楷體" w:hAnsi="標楷體"/>
          <w:color w:val="auto"/>
          <w:kern w:val="0"/>
        </w:rPr>
      </w:pPr>
      <w:r w:rsidRPr="00FE1DFC">
        <w:rPr>
          <w:rFonts w:ascii="標楷體" w:eastAsia="標楷體" w:hAnsi="標楷體" w:hint="eastAsia"/>
          <w:color w:val="auto"/>
          <w:kern w:val="0"/>
        </w:rPr>
        <w:t>一、退縮十公尺以上者，配合公有人行道行道樹，配置兩列遮蔭喬木為原則，得依基地特性，留設至少寬四公尺以上連續</w:t>
      </w:r>
      <w:proofErr w:type="gramStart"/>
      <w:r w:rsidRPr="00FE1DFC">
        <w:rPr>
          <w:rFonts w:ascii="標楷體" w:eastAsia="標楷體" w:hAnsi="標楷體" w:hint="eastAsia"/>
          <w:color w:val="auto"/>
          <w:kern w:val="0"/>
        </w:rPr>
        <w:t>淨空人行</w:t>
      </w:r>
      <w:proofErr w:type="gramEnd"/>
      <w:r w:rsidRPr="00FE1DFC">
        <w:rPr>
          <w:rFonts w:ascii="標楷體" w:eastAsia="標楷體" w:hAnsi="標楷體" w:hint="eastAsia"/>
          <w:color w:val="auto"/>
          <w:kern w:val="0"/>
        </w:rPr>
        <w:t>通道。</w:t>
      </w:r>
    </w:p>
    <w:p w:rsidR="00635634" w:rsidRPr="00FE1DFC" w:rsidRDefault="00635634" w:rsidP="00635634">
      <w:pPr>
        <w:pStyle w:val="a5"/>
        <w:spacing w:line="460" w:lineRule="exact"/>
        <w:ind w:left="1904" w:hanging="486"/>
        <w:rPr>
          <w:rFonts w:ascii="標楷體" w:eastAsia="標楷體" w:hAnsi="標楷體"/>
          <w:color w:val="auto"/>
          <w:kern w:val="0"/>
        </w:rPr>
      </w:pPr>
      <w:r w:rsidRPr="00FE1DFC">
        <w:rPr>
          <w:rFonts w:ascii="標楷體" w:eastAsia="標楷體" w:hAnsi="標楷體" w:hint="eastAsia"/>
          <w:color w:val="auto"/>
          <w:kern w:val="0"/>
        </w:rPr>
        <w:t>二、退縮未達十公尺者，配合公有人行道行道樹，配置遮蔭喬木為原則，得依基地特性，留設至少寬二點五公尺之連續</w:t>
      </w:r>
      <w:proofErr w:type="gramStart"/>
      <w:r w:rsidRPr="00FE1DFC">
        <w:rPr>
          <w:rFonts w:ascii="標楷體" w:eastAsia="標楷體" w:hAnsi="標楷體" w:hint="eastAsia"/>
          <w:color w:val="auto"/>
          <w:kern w:val="0"/>
        </w:rPr>
        <w:t>淨空人行</w:t>
      </w:r>
      <w:proofErr w:type="gramEnd"/>
      <w:r w:rsidRPr="00FE1DFC">
        <w:rPr>
          <w:rFonts w:ascii="標楷體" w:eastAsia="標楷體" w:hAnsi="標楷體" w:hint="eastAsia"/>
          <w:color w:val="auto"/>
          <w:kern w:val="0"/>
        </w:rPr>
        <w:t>通道。</w:t>
      </w:r>
    </w:p>
    <w:p w:rsidR="00635634" w:rsidRPr="00912107" w:rsidRDefault="00635634" w:rsidP="00635634">
      <w:pPr>
        <w:pStyle w:val="a5"/>
        <w:spacing w:line="460" w:lineRule="exact"/>
        <w:ind w:left="1904" w:hanging="486"/>
        <w:rPr>
          <w:rFonts w:ascii="標楷體" w:eastAsia="標楷體" w:hAnsi="標楷體" w:hint="eastAsia"/>
          <w:color w:val="auto"/>
          <w:kern w:val="0"/>
        </w:rPr>
      </w:pPr>
      <w:r>
        <w:rPr>
          <w:rFonts w:ascii="標楷體" w:eastAsia="標楷體" w:hAnsi="標楷體" w:hint="eastAsia"/>
          <w:color w:val="auto"/>
          <w:kern w:val="0"/>
        </w:rPr>
        <w:lastRenderedPageBreak/>
        <w:t>三、</w:t>
      </w:r>
      <w:r w:rsidRPr="00D27735">
        <w:rPr>
          <w:rFonts w:ascii="標楷體" w:eastAsia="標楷體" w:hAnsi="標楷體" w:hint="eastAsia"/>
          <w:kern w:val="0"/>
          <w:szCs w:val="24"/>
        </w:rPr>
        <w:t>樹冠開展之喬木樹種，</w:t>
      </w:r>
      <w:proofErr w:type="gramStart"/>
      <w:r w:rsidRPr="00D27735">
        <w:rPr>
          <w:rFonts w:ascii="標楷體" w:eastAsia="標楷體" w:hAnsi="標楷體" w:hint="eastAsia"/>
          <w:kern w:val="0"/>
          <w:szCs w:val="24"/>
        </w:rPr>
        <w:t>枝下高離地淨</w:t>
      </w:r>
      <w:proofErr w:type="gramEnd"/>
      <w:r w:rsidRPr="00D27735">
        <w:rPr>
          <w:rFonts w:ascii="標楷體" w:eastAsia="標楷體" w:hAnsi="標楷體" w:hint="eastAsia"/>
          <w:kern w:val="0"/>
          <w:szCs w:val="24"/>
        </w:rPr>
        <w:t>高二點五公尺以上，且具遮蔭效果之中大型喬木</w:t>
      </w:r>
      <w:r w:rsidRPr="00912107">
        <w:rPr>
          <w:rFonts w:ascii="標楷體" w:eastAsia="標楷體" w:hAnsi="標楷體" w:hint="eastAsia"/>
          <w:color w:val="auto"/>
          <w:kern w:val="0"/>
        </w:rPr>
        <w:t>。</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前</w:t>
      </w:r>
      <w:r w:rsidRPr="00912107">
        <w:rPr>
          <w:rFonts w:ascii="標楷體" w:eastAsia="標楷體" w:hAnsi="標楷體" w:hint="eastAsia"/>
          <w:color w:val="auto"/>
          <w:kern w:val="0"/>
        </w:rPr>
        <w:t>項指定退縮地，以多樣性、</w:t>
      </w:r>
      <w:proofErr w:type="gramStart"/>
      <w:r w:rsidRPr="00912107">
        <w:rPr>
          <w:rFonts w:ascii="標楷體" w:eastAsia="標楷體" w:hAnsi="標楷體" w:hint="eastAsia"/>
          <w:color w:val="auto"/>
          <w:kern w:val="0"/>
        </w:rPr>
        <w:t>複層植</w:t>
      </w:r>
      <w:proofErr w:type="gramEnd"/>
      <w:r w:rsidRPr="00912107">
        <w:rPr>
          <w:rFonts w:ascii="標楷體" w:eastAsia="標楷體" w:hAnsi="標楷體" w:hint="eastAsia"/>
          <w:color w:val="auto"/>
          <w:kern w:val="0"/>
        </w:rPr>
        <w:t>栽方式及帶狀設計為原則，並得依基地特性配置街道傢俱。</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Pr>
          <w:rFonts w:ascii="標楷體" w:eastAsia="標楷體" w:hAnsi="標楷體" w:hint="eastAsia"/>
          <w:color w:val="auto"/>
          <w:kern w:val="0"/>
        </w:rPr>
        <w:t>第十七</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本特定區指定退縮地以外空間之垃圾貯存空間</w:t>
      </w:r>
      <w:r>
        <w:rPr>
          <w:rFonts w:ascii="標楷體" w:eastAsia="標楷體" w:hAnsi="標楷體" w:hint="eastAsia"/>
          <w:color w:val="auto"/>
          <w:kern w:val="0"/>
        </w:rPr>
        <w:t>設置</w:t>
      </w:r>
      <w:r w:rsidRPr="00912107">
        <w:rPr>
          <w:rFonts w:ascii="標楷體" w:eastAsia="標楷體" w:hAnsi="標楷體" w:hint="eastAsia"/>
          <w:color w:val="auto"/>
          <w:kern w:val="0"/>
        </w:rPr>
        <w:t>，應</w:t>
      </w:r>
      <w:r>
        <w:rPr>
          <w:rFonts w:ascii="標楷體" w:eastAsia="標楷體" w:hAnsi="標楷體" w:hint="eastAsia"/>
          <w:color w:val="auto"/>
          <w:kern w:val="0"/>
        </w:rPr>
        <w:t>符合</w:t>
      </w:r>
      <w:r w:rsidRPr="00912107">
        <w:rPr>
          <w:rFonts w:ascii="標楷體" w:eastAsia="標楷體" w:hAnsi="標楷體" w:hint="eastAsia"/>
          <w:color w:val="auto"/>
          <w:kern w:val="0"/>
        </w:rPr>
        <w:t>下列規定：</w:t>
      </w:r>
    </w:p>
    <w:p w:rsidR="00635634" w:rsidRPr="00912107" w:rsidRDefault="00635634" w:rsidP="00635634">
      <w:pPr>
        <w:pStyle w:val="a5"/>
        <w:spacing w:line="460" w:lineRule="exact"/>
        <w:ind w:left="1904" w:hanging="486"/>
        <w:rPr>
          <w:rFonts w:ascii="標楷體" w:eastAsia="標楷體" w:hAnsi="標楷體" w:hint="eastAsia"/>
          <w:color w:val="auto"/>
          <w:kern w:val="0"/>
        </w:rPr>
      </w:pPr>
      <w:r w:rsidRPr="00912107">
        <w:rPr>
          <w:rFonts w:ascii="標楷體" w:eastAsia="標楷體" w:hAnsi="標楷體" w:hint="eastAsia"/>
          <w:color w:val="auto"/>
          <w:kern w:val="0"/>
        </w:rPr>
        <w:t>一、設置於建築物者，於基地地面一層或地下一層集中設置為原則。</w:t>
      </w:r>
    </w:p>
    <w:p w:rsidR="00635634" w:rsidRPr="00912107" w:rsidRDefault="00635634" w:rsidP="00635634">
      <w:pPr>
        <w:pStyle w:val="a5"/>
        <w:spacing w:line="460" w:lineRule="exact"/>
        <w:ind w:left="1904" w:hanging="486"/>
        <w:rPr>
          <w:rFonts w:ascii="標楷體" w:eastAsia="標楷體" w:hAnsi="標楷體" w:hint="eastAsia"/>
          <w:color w:val="auto"/>
          <w:kern w:val="0"/>
        </w:rPr>
      </w:pPr>
      <w:r w:rsidRPr="00912107">
        <w:rPr>
          <w:rFonts w:ascii="標楷體" w:eastAsia="標楷體" w:hAnsi="標楷體" w:hint="eastAsia"/>
          <w:color w:val="auto"/>
          <w:kern w:val="0"/>
        </w:rPr>
        <w:t>二、設置於法定空地者，應</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綠美化，並設公共衛生維護設施，且需鄰接基地內通路。</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垃圾貯存設備如</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垃圾子車者，應</w:t>
      </w:r>
      <w:proofErr w:type="gramStart"/>
      <w:r w:rsidRPr="00912107">
        <w:rPr>
          <w:rFonts w:ascii="標楷體" w:eastAsia="標楷體" w:hAnsi="標楷體" w:hint="eastAsia"/>
          <w:color w:val="auto"/>
          <w:kern w:val="0"/>
        </w:rPr>
        <w:t>留設供垃圾</w:t>
      </w:r>
      <w:proofErr w:type="gramEnd"/>
      <w:r w:rsidRPr="00912107">
        <w:rPr>
          <w:rFonts w:ascii="標楷體" w:eastAsia="標楷體" w:hAnsi="標楷體" w:hint="eastAsia"/>
          <w:color w:val="auto"/>
          <w:kern w:val="0"/>
        </w:rPr>
        <w:t>收集車進出車道及臨停操作空間。</w:t>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前</w:t>
      </w:r>
      <w:r>
        <w:rPr>
          <w:rFonts w:ascii="標楷體" w:eastAsia="標楷體" w:hAnsi="標楷體" w:hint="eastAsia"/>
          <w:color w:val="auto"/>
          <w:kern w:val="0"/>
        </w:rPr>
        <w:t>二</w:t>
      </w:r>
      <w:r w:rsidRPr="00912107">
        <w:rPr>
          <w:rFonts w:ascii="標楷體" w:eastAsia="標楷體" w:hAnsi="標楷體" w:hint="eastAsia"/>
          <w:color w:val="auto"/>
          <w:kern w:val="0"/>
        </w:rPr>
        <w:t>項垃圾貯存空間與臨停操作空間，不得設置於指定退縮地。</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993" w:hanging="993"/>
        <w:rPr>
          <w:rFonts w:ascii="標楷體" w:eastAsia="標楷體" w:hAnsi="標楷體" w:hint="eastAsia"/>
          <w:color w:val="auto"/>
          <w:kern w:val="0"/>
        </w:rPr>
      </w:pPr>
      <w:r>
        <w:rPr>
          <w:rFonts w:ascii="標楷體" w:eastAsia="標楷體" w:hAnsi="標楷體" w:hint="eastAsia"/>
          <w:color w:val="auto"/>
          <w:kern w:val="0"/>
        </w:rPr>
        <w:t>第十八</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本特定區面臨指定退縮地之圍牆，</w:t>
      </w:r>
      <w:r>
        <w:rPr>
          <w:rFonts w:ascii="標楷體" w:eastAsia="標楷體" w:hAnsi="標楷體" w:hint="eastAsia"/>
          <w:color w:val="auto"/>
          <w:kern w:val="0"/>
        </w:rPr>
        <w:t>應</w:t>
      </w:r>
      <w:proofErr w:type="gramStart"/>
      <w:r w:rsidRPr="00912107">
        <w:rPr>
          <w:rFonts w:ascii="標楷體" w:eastAsia="標楷體" w:hAnsi="標楷體" w:hint="eastAsia"/>
          <w:color w:val="auto"/>
          <w:kern w:val="0"/>
        </w:rPr>
        <w:t>採透空或圍牆</w:t>
      </w:r>
      <w:proofErr w:type="gramEnd"/>
      <w:r w:rsidRPr="00912107">
        <w:rPr>
          <w:rFonts w:ascii="標楷體" w:eastAsia="標楷體" w:hAnsi="標楷體" w:hint="eastAsia"/>
          <w:color w:val="auto"/>
          <w:kern w:val="0"/>
        </w:rPr>
        <w:t>綠美化為原則，高度不得高於二點五公尺，牆</w:t>
      </w:r>
      <w:proofErr w:type="gramStart"/>
      <w:r w:rsidRPr="00912107">
        <w:rPr>
          <w:rFonts w:ascii="標楷體" w:eastAsia="標楷體" w:hAnsi="標楷體" w:hint="eastAsia"/>
          <w:color w:val="auto"/>
          <w:kern w:val="0"/>
        </w:rPr>
        <w:t>面透空率扣除牆基應</w:t>
      </w:r>
      <w:proofErr w:type="gramEnd"/>
      <w:r>
        <w:rPr>
          <w:rFonts w:ascii="標楷體" w:eastAsia="標楷體" w:hAnsi="標楷體" w:hint="eastAsia"/>
          <w:color w:val="auto"/>
          <w:kern w:val="0"/>
        </w:rPr>
        <w:t>大於</w:t>
      </w:r>
      <w:r w:rsidRPr="00912107">
        <w:rPr>
          <w:rFonts w:ascii="標楷體" w:eastAsia="標楷體" w:hAnsi="標楷體" w:hint="eastAsia"/>
          <w:color w:val="auto"/>
          <w:kern w:val="0"/>
        </w:rPr>
        <w:t>百分之七十以上。</w:t>
      </w:r>
    </w:p>
    <w:p w:rsidR="00635634" w:rsidRPr="00912107" w:rsidRDefault="00635634" w:rsidP="00635634">
      <w:pPr>
        <w:pStyle w:val="a5"/>
        <w:spacing w:line="460" w:lineRule="exact"/>
        <w:ind w:left="993" w:hanging="993"/>
        <w:rPr>
          <w:rFonts w:ascii="標楷體" w:eastAsia="標楷體" w:hAnsi="標楷體" w:hint="eastAsia"/>
          <w:color w:val="auto"/>
          <w:kern w:val="0"/>
        </w:rPr>
      </w:pPr>
      <w:r>
        <w:rPr>
          <w:rFonts w:ascii="標楷體" w:eastAsia="標楷體" w:hAnsi="標楷體" w:hint="eastAsia"/>
          <w:color w:val="auto"/>
          <w:kern w:val="0"/>
        </w:rPr>
        <w:t xml:space="preserve">          </w:t>
      </w:r>
      <w:proofErr w:type="gramStart"/>
      <w:r w:rsidRPr="00912107">
        <w:rPr>
          <w:rFonts w:ascii="標楷體" w:eastAsia="標楷體" w:hAnsi="標楷體" w:hint="eastAsia"/>
          <w:color w:val="auto"/>
          <w:kern w:val="0"/>
        </w:rPr>
        <w:t>前項牆基高度</w:t>
      </w:r>
      <w:proofErr w:type="gramEnd"/>
      <w:r w:rsidRPr="00912107">
        <w:rPr>
          <w:rFonts w:ascii="標楷體" w:eastAsia="標楷體" w:hAnsi="標楷體" w:hint="eastAsia"/>
          <w:color w:val="auto"/>
          <w:kern w:val="0"/>
        </w:rPr>
        <w:t>，不得超過四十五公分。</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Pr>
          <w:rFonts w:ascii="標楷體" w:eastAsia="標楷體" w:hAnsi="標楷體" w:hint="eastAsia"/>
          <w:color w:val="auto"/>
          <w:kern w:val="0"/>
        </w:rPr>
        <w:t>第</w:t>
      </w:r>
      <w:r w:rsidRPr="00912107">
        <w:rPr>
          <w:rFonts w:ascii="標楷體" w:eastAsia="標楷體" w:hAnsi="標楷體" w:hint="eastAsia"/>
          <w:color w:val="auto"/>
          <w:kern w:val="0"/>
        </w:rPr>
        <w:t>十</w:t>
      </w:r>
      <w:r>
        <w:rPr>
          <w:rFonts w:ascii="標楷體" w:eastAsia="標楷體" w:hAnsi="標楷體" w:hint="eastAsia"/>
          <w:color w:val="auto"/>
          <w:kern w:val="0"/>
        </w:rPr>
        <w:t>九</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本特定區之建築物高度，應配合自然景觀風貌，以不破壞自然天際線與山稜線為原則。</w:t>
      </w:r>
    </w:p>
    <w:p w:rsidR="00635634" w:rsidRPr="00912107" w:rsidRDefault="00635634" w:rsidP="00635634">
      <w:pPr>
        <w:pStyle w:val="a5"/>
        <w:spacing w:line="460" w:lineRule="exact"/>
        <w:ind w:left="993" w:hanging="993"/>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本特定區之建築物量體，宜</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前後、高低錯落及多層次設計，並考量環境背景與建物之協調性，避免單一無變化之巨型、面狀建築量體，且避免造成環境視覺景觀之衝擊。</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064" w:hanging="1064"/>
        <w:rPr>
          <w:rFonts w:ascii="標楷體" w:eastAsia="標楷體" w:hAnsi="標楷體" w:hint="eastAsia"/>
          <w:color w:val="auto"/>
          <w:kern w:val="0"/>
        </w:rPr>
      </w:pPr>
      <w:r w:rsidRPr="00912107">
        <w:rPr>
          <w:rFonts w:ascii="標楷體" w:eastAsia="標楷體" w:hAnsi="標楷體" w:hint="eastAsia"/>
          <w:color w:val="auto"/>
          <w:kern w:val="0"/>
        </w:rPr>
        <w:t>第二十條</w:t>
      </w:r>
      <w:r>
        <w:rPr>
          <w:rFonts w:ascii="標楷體" w:eastAsia="標楷體" w:hAnsi="標楷體" w:hint="eastAsia"/>
          <w:color w:val="auto"/>
          <w:kern w:val="0"/>
        </w:rPr>
        <w:t xml:space="preserve">  </w:t>
      </w:r>
      <w:r w:rsidRPr="00F4630A">
        <w:rPr>
          <w:rFonts w:ascii="標楷體" w:eastAsia="標楷體" w:hAnsi="標楷體" w:hint="eastAsia"/>
          <w:color w:val="auto"/>
          <w:kern w:val="0"/>
        </w:rPr>
        <w:t>本特定區建築物立面屋頂、屋身及基座色彩應採用低明度、</w:t>
      </w:r>
      <w:proofErr w:type="gramStart"/>
      <w:r w:rsidRPr="00F4630A">
        <w:rPr>
          <w:rFonts w:ascii="標楷體" w:eastAsia="標楷體" w:hAnsi="標楷體" w:hint="eastAsia"/>
          <w:color w:val="auto"/>
          <w:kern w:val="0"/>
        </w:rPr>
        <w:t>低彩度</w:t>
      </w:r>
      <w:proofErr w:type="gramEnd"/>
      <w:r w:rsidRPr="00F4630A">
        <w:rPr>
          <w:rFonts w:ascii="標楷體" w:eastAsia="標楷體" w:hAnsi="標楷體" w:hint="eastAsia"/>
          <w:color w:val="auto"/>
          <w:kern w:val="0"/>
        </w:rPr>
        <w:t>設計，並與本特定區整體自然環境景觀調和，及避免使用與周邊自然環境衝突之顏色為原則</w:t>
      </w:r>
      <w:r w:rsidRPr="00912107">
        <w:rPr>
          <w:rFonts w:ascii="標楷體" w:eastAsia="標楷體" w:hAnsi="標楷體" w:hint="eastAsia"/>
          <w:color w:val="auto"/>
          <w:kern w:val="0"/>
        </w:rPr>
        <w:t>。</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第二十一</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本特定區建築物之立面，</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凹凸、虛實或材質變化等設</w:t>
      </w:r>
      <w:r w:rsidRPr="00912107">
        <w:rPr>
          <w:rFonts w:ascii="標楷體" w:eastAsia="標楷體" w:hAnsi="標楷體" w:hint="eastAsia"/>
          <w:color w:val="auto"/>
          <w:kern w:val="0"/>
        </w:rPr>
        <w:lastRenderedPageBreak/>
        <w:t>計為原則，增加多樣化與豐富度。</w:t>
      </w:r>
    </w:p>
    <w:p w:rsidR="00635634" w:rsidRPr="00912107" w:rsidRDefault="00635634" w:rsidP="00635634">
      <w:pPr>
        <w:pStyle w:val="a5"/>
        <w:spacing w:line="460" w:lineRule="exact"/>
        <w:ind w:left="993" w:hanging="993"/>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前項建築物立面材料，應配合自然及人文景觀，宜</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自然材質，避免使用反光、</w:t>
      </w:r>
      <w:proofErr w:type="gramStart"/>
      <w:r w:rsidRPr="00912107">
        <w:rPr>
          <w:rFonts w:ascii="標楷體" w:eastAsia="標楷體" w:hAnsi="標楷體" w:hint="eastAsia"/>
          <w:color w:val="auto"/>
          <w:kern w:val="0"/>
        </w:rPr>
        <w:t>眩</w:t>
      </w:r>
      <w:proofErr w:type="gramEnd"/>
      <w:r w:rsidRPr="00912107">
        <w:rPr>
          <w:rFonts w:ascii="標楷體" w:eastAsia="標楷體" w:hAnsi="標楷體" w:hint="eastAsia"/>
          <w:color w:val="auto"/>
          <w:kern w:val="0"/>
        </w:rPr>
        <w:t>光材質。</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第二十二</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本特定區建築物之</w:t>
      </w:r>
      <w:proofErr w:type="gramStart"/>
      <w:r w:rsidRPr="00912107">
        <w:rPr>
          <w:rFonts w:ascii="標楷體" w:eastAsia="標楷體" w:hAnsi="標楷體" w:hint="eastAsia"/>
          <w:color w:val="auto"/>
          <w:kern w:val="0"/>
        </w:rPr>
        <w:t>節能減碳設計</w:t>
      </w:r>
      <w:proofErr w:type="gramEnd"/>
      <w:r w:rsidRPr="00912107">
        <w:rPr>
          <w:rFonts w:ascii="標楷體" w:eastAsia="標楷體" w:hAnsi="標楷體" w:hint="eastAsia"/>
          <w:color w:val="auto"/>
          <w:kern w:val="0"/>
        </w:rPr>
        <w:t>，應考量日照時間與方向，</w:t>
      </w:r>
      <w:proofErr w:type="gramStart"/>
      <w:r w:rsidRPr="00912107">
        <w:rPr>
          <w:rFonts w:ascii="標楷體" w:eastAsia="標楷體" w:hAnsi="標楷體" w:hint="eastAsia"/>
          <w:color w:val="auto"/>
          <w:kern w:val="0"/>
        </w:rPr>
        <w:t>採深出</w:t>
      </w:r>
      <w:proofErr w:type="gramEnd"/>
      <w:r w:rsidRPr="00912107">
        <w:rPr>
          <w:rFonts w:ascii="標楷體" w:eastAsia="標楷體" w:hAnsi="標楷體" w:hint="eastAsia"/>
          <w:color w:val="auto"/>
          <w:kern w:val="0"/>
        </w:rPr>
        <w:t>簷、迴廊式陽台、</w:t>
      </w:r>
      <w:proofErr w:type="gramStart"/>
      <w:r w:rsidRPr="00912107">
        <w:rPr>
          <w:rFonts w:ascii="標楷體" w:eastAsia="標楷體" w:hAnsi="標楷體" w:hint="eastAsia"/>
          <w:color w:val="auto"/>
          <w:kern w:val="0"/>
        </w:rPr>
        <w:t>露台</w:t>
      </w:r>
      <w:proofErr w:type="gramEnd"/>
      <w:r w:rsidRPr="00912107">
        <w:rPr>
          <w:rFonts w:ascii="標楷體" w:eastAsia="標楷體" w:hAnsi="標楷體" w:hint="eastAsia"/>
          <w:color w:val="auto"/>
          <w:kern w:val="0"/>
        </w:rPr>
        <w:t>、透空柵欄、花架或屋頂綠化設計。</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第二十三</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本特定區建築物之立面開口面臨主要道路或廣場、公園、綠地、兒童遊樂場用地者，應</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立體綠化設計，於陽台</w:t>
      </w:r>
      <w:proofErr w:type="gramStart"/>
      <w:r w:rsidRPr="00912107">
        <w:rPr>
          <w:rFonts w:ascii="標楷體" w:eastAsia="標楷體" w:hAnsi="標楷體" w:hint="eastAsia"/>
          <w:color w:val="auto"/>
          <w:kern w:val="0"/>
        </w:rPr>
        <w:t>或窗台設置</w:t>
      </w:r>
      <w:proofErr w:type="gramEnd"/>
      <w:r w:rsidRPr="00912107">
        <w:rPr>
          <w:rFonts w:ascii="標楷體" w:eastAsia="標楷體" w:hAnsi="標楷體" w:hint="eastAsia"/>
          <w:color w:val="auto"/>
          <w:kern w:val="0"/>
        </w:rPr>
        <w:t>植栽槽，或</w:t>
      </w:r>
      <w:proofErr w:type="gramStart"/>
      <w:r w:rsidRPr="00912107">
        <w:rPr>
          <w:rFonts w:ascii="標楷體" w:eastAsia="標楷體" w:hAnsi="標楷體" w:hint="eastAsia"/>
          <w:color w:val="auto"/>
          <w:kern w:val="0"/>
        </w:rPr>
        <w:t>採植生牆設計</w:t>
      </w:r>
      <w:proofErr w:type="gramEnd"/>
      <w:r w:rsidRPr="00912107">
        <w:rPr>
          <w:rFonts w:ascii="標楷體" w:eastAsia="標楷體" w:hAnsi="標楷體" w:hint="eastAsia"/>
          <w:color w:val="auto"/>
          <w:kern w:val="0"/>
        </w:rPr>
        <w:t>，並設置自動噴灌</w:t>
      </w:r>
      <w:proofErr w:type="gramStart"/>
      <w:r w:rsidRPr="00912107">
        <w:rPr>
          <w:rFonts w:ascii="標楷體" w:eastAsia="標楷體" w:hAnsi="標楷體" w:hint="eastAsia"/>
          <w:color w:val="auto"/>
          <w:kern w:val="0"/>
        </w:rPr>
        <w:t>或滴灌等</w:t>
      </w:r>
      <w:proofErr w:type="gramEnd"/>
      <w:r w:rsidRPr="00912107">
        <w:rPr>
          <w:rFonts w:ascii="標楷體" w:eastAsia="標楷體" w:hAnsi="標楷體" w:hint="eastAsia"/>
          <w:color w:val="auto"/>
          <w:kern w:val="0"/>
        </w:rPr>
        <w:t>低管理維護系統。</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第二十四</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本特定區之建築物屋頂層，</w:t>
      </w:r>
      <w:r>
        <w:rPr>
          <w:rFonts w:ascii="標楷體" w:eastAsia="標楷體" w:hAnsi="標楷體" w:hint="eastAsia"/>
          <w:color w:val="auto"/>
          <w:kern w:val="0"/>
        </w:rPr>
        <w:t>應</w:t>
      </w:r>
      <w:r w:rsidRPr="00912107">
        <w:rPr>
          <w:rFonts w:ascii="標楷體" w:eastAsia="標楷體" w:hAnsi="標楷體" w:hint="eastAsia"/>
          <w:color w:val="auto"/>
          <w:kern w:val="0"/>
        </w:rPr>
        <w:t>實施綠化且</w:t>
      </w:r>
      <w:proofErr w:type="gramStart"/>
      <w:r w:rsidRPr="00912107">
        <w:rPr>
          <w:rFonts w:ascii="標楷體" w:eastAsia="標楷體" w:hAnsi="標楷體" w:hint="eastAsia"/>
          <w:color w:val="auto"/>
          <w:kern w:val="0"/>
        </w:rPr>
        <w:t>屋頂層綠覆</w:t>
      </w:r>
      <w:proofErr w:type="gramEnd"/>
      <w:r w:rsidRPr="00912107">
        <w:rPr>
          <w:rFonts w:ascii="標楷體" w:eastAsia="標楷體" w:hAnsi="標楷體" w:hint="eastAsia"/>
          <w:color w:val="auto"/>
          <w:kern w:val="0"/>
        </w:rPr>
        <w:t>率以達三分之一以上為原則。</w:t>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前項設計</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斜屋頂者，屋頂層</w:t>
      </w:r>
      <w:proofErr w:type="gramStart"/>
      <w:r w:rsidRPr="00912107">
        <w:rPr>
          <w:rFonts w:ascii="標楷體" w:eastAsia="標楷體" w:hAnsi="標楷體" w:hint="eastAsia"/>
          <w:color w:val="auto"/>
          <w:kern w:val="0"/>
        </w:rPr>
        <w:t>扣除斜</w:t>
      </w:r>
      <w:proofErr w:type="gramEnd"/>
      <w:r w:rsidRPr="00912107">
        <w:rPr>
          <w:rFonts w:ascii="標楷體" w:eastAsia="標楷體" w:hAnsi="標楷體" w:hint="eastAsia"/>
          <w:color w:val="auto"/>
          <w:kern w:val="0"/>
        </w:rPr>
        <w:t>屋頂投影面積外之綠覆率以達三分之一以上為原則。</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第二十五</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本特定區之建築設備，應</w:t>
      </w:r>
      <w:proofErr w:type="gramStart"/>
      <w:r w:rsidRPr="00912107">
        <w:rPr>
          <w:rFonts w:ascii="標楷體" w:eastAsia="標楷體" w:hAnsi="標楷體" w:hint="eastAsia"/>
          <w:color w:val="auto"/>
          <w:kern w:val="0"/>
        </w:rPr>
        <w:t>採</w:t>
      </w:r>
      <w:proofErr w:type="gramEnd"/>
      <w:r w:rsidRPr="00912107">
        <w:rPr>
          <w:rFonts w:ascii="標楷體" w:eastAsia="標楷體" w:hAnsi="標楷體" w:hint="eastAsia"/>
          <w:color w:val="auto"/>
          <w:kern w:val="0"/>
        </w:rPr>
        <w:t>綠美化設計，並依下列</w:t>
      </w:r>
      <w:r>
        <w:rPr>
          <w:rFonts w:ascii="標楷體" w:eastAsia="標楷體" w:hAnsi="標楷體" w:hint="eastAsia"/>
          <w:color w:val="auto"/>
          <w:kern w:val="0"/>
        </w:rPr>
        <w:t>原則設置</w:t>
      </w:r>
      <w:r w:rsidRPr="00912107">
        <w:rPr>
          <w:rFonts w:ascii="標楷體" w:eastAsia="標楷體" w:hAnsi="標楷體" w:hint="eastAsia"/>
          <w:color w:val="auto"/>
          <w:kern w:val="0"/>
        </w:rPr>
        <w:t>：</w:t>
      </w:r>
    </w:p>
    <w:p w:rsidR="00635634" w:rsidRPr="00912107" w:rsidRDefault="00635634" w:rsidP="00635634">
      <w:pPr>
        <w:pStyle w:val="a5"/>
        <w:spacing w:line="460" w:lineRule="exact"/>
        <w:ind w:left="2240" w:hanging="539"/>
        <w:rPr>
          <w:rFonts w:ascii="標楷體" w:eastAsia="標楷體" w:hAnsi="標楷體" w:hint="eastAsia"/>
          <w:color w:val="auto"/>
          <w:kern w:val="0"/>
        </w:rPr>
      </w:pPr>
      <w:r w:rsidRPr="00912107">
        <w:rPr>
          <w:rFonts w:ascii="標楷體" w:eastAsia="標楷體" w:hAnsi="標楷體" w:hint="eastAsia"/>
          <w:color w:val="auto"/>
          <w:kern w:val="0"/>
        </w:rPr>
        <w:t>一、建築物立面臨道路或廣場、公園、綠地、兒童遊樂場用地者，應避免設置空調設備機台、工作</w:t>
      </w:r>
      <w:proofErr w:type="gramStart"/>
      <w:r w:rsidRPr="00912107">
        <w:rPr>
          <w:rFonts w:ascii="標楷體" w:eastAsia="標楷體" w:hAnsi="標楷體" w:hint="eastAsia"/>
          <w:color w:val="auto"/>
          <w:kern w:val="0"/>
        </w:rPr>
        <w:t>曬</w:t>
      </w:r>
      <w:proofErr w:type="gramEnd"/>
      <w:r w:rsidRPr="00912107">
        <w:rPr>
          <w:rFonts w:ascii="標楷體" w:eastAsia="標楷體" w:hAnsi="標楷體" w:hint="eastAsia"/>
          <w:color w:val="auto"/>
          <w:kern w:val="0"/>
        </w:rPr>
        <w:t>衣陽台，如必須設置，應配合</w:t>
      </w:r>
      <w:proofErr w:type="gramStart"/>
      <w:r w:rsidRPr="00912107">
        <w:rPr>
          <w:rFonts w:ascii="標楷體" w:eastAsia="標楷體" w:hAnsi="標楷體" w:hint="eastAsia"/>
          <w:color w:val="auto"/>
          <w:kern w:val="0"/>
        </w:rPr>
        <w:t>格柵、</w:t>
      </w:r>
      <w:proofErr w:type="gramEnd"/>
      <w:r w:rsidRPr="00912107">
        <w:rPr>
          <w:rFonts w:ascii="標楷體" w:eastAsia="標楷體" w:hAnsi="標楷體" w:hint="eastAsia"/>
          <w:color w:val="auto"/>
          <w:kern w:val="0"/>
        </w:rPr>
        <w:t>百葉等改善設施。</w:t>
      </w:r>
    </w:p>
    <w:p w:rsidR="00635634" w:rsidRPr="00912107" w:rsidRDefault="00635634" w:rsidP="00635634">
      <w:pPr>
        <w:pStyle w:val="a5"/>
        <w:spacing w:line="460" w:lineRule="exact"/>
        <w:ind w:left="2240" w:hanging="539"/>
        <w:rPr>
          <w:rFonts w:ascii="標楷體" w:eastAsia="標楷體" w:hAnsi="標楷體" w:hint="eastAsia"/>
          <w:color w:val="auto"/>
          <w:kern w:val="0"/>
        </w:rPr>
      </w:pPr>
      <w:r w:rsidRPr="00912107">
        <w:rPr>
          <w:rFonts w:ascii="標楷體" w:eastAsia="標楷體" w:hAnsi="標楷體" w:hint="eastAsia"/>
          <w:color w:val="auto"/>
          <w:kern w:val="0"/>
        </w:rPr>
        <w:t>二、屋頂水箱、冷卻塔等建築物設備，應配合建築物整體設計，並收納於建築物之設備空間，避免與周邊自然</w:t>
      </w:r>
      <w:r>
        <w:rPr>
          <w:rFonts w:ascii="標楷體" w:eastAsia="標楷體" w:hAnsi="標楷體" w:hint="eastAsia"/>
          <w:color w:val="auto"/>
          <w:kern w:val="0"/>
        </w:rPr>
        <w:t>景觀</w:t>
      </w:r>
      <w:r w:rsidRPr="00912107">
        <w:rPr>
          <w:rFonts w:ascii="標楷體" w:eastAsia="標楷體" w:hAnsi="標楷體" w:hint="eastAsia"/>
          <w:color w:val="auto"/>
          <w:kern w:val="0"/>
        </w:rPr>
        <w:t>產生衝突。</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第二十六</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w:t>
      </w:r>
      <w:r w:rsidRPr="00D12AB6">
        <w:rPr>
          <w:rFonts w:ascii="標楷體" w:eastAsia="標楷體" w:hAnsi="標楷體" w:hint="eastAsia"/>
          <w:color w:val="auto"/>
          <w:kern w:val="0"/>
        </w:rPr>
        <w:t>本特定區之申請案，除都市計畫法、環境影響評估法、水土保持法、</w:t>
      </w:r>
      <w:r>
        <w:rPr>
          <w:rFonts w:ascii="標楷體" w:eastAsia="標楷體" w:hAnsi="標楷體" w:hint="eastAsia"/>
          <w:color w:val="auto"/>
          <w:kern w:val="0"/>
        </w:rPr>
        <w:t>建築法或其他相關之法規另有規定，從其規定外，依本</w:t>
      </w:r>
      <w:r w:rsidRPr="00E25EB6">
        <w:rPr>
          <w:rFonts w:ascii="標楷體" w:eastAsia="標楷體" w:hAnsi="標楷體" w:hint="eastAsia"/>
          <w:color w:val="auto"/>
          <w:kern w:val="0"/>
        </w:rPr>
        <w:t>規範</w:t>
      </w:r>
      <w:r>
        <w:rPr>
          <w:rFonts w:ascii="標楷體" w:eastAsia="標楷體" w:hAnsi="標楷體" w:hint="eastAsia"/>
          <w:color w:val="auto"/>
          <w:kern w:val="0"/>
        </w:rPr>
        <w:t>之規定辦理</w:t>
      </w:r>
      <w:r w:rsidRPr="00912107">
        <w:rPr>
          <w:rFonts w:ascii="標楷體" w:eastAsia="標楷體" w:hAnsi="標楷體" w:hint="eastAsia"/>
          <w:color w:val="auto"/>
          <w:kern w:val="0"/>
        </w:rPr>
        <w:t>。</w:t>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sidRPr="00912107">
        <w:rPr>
          <w:rFonts w:ascii="標楷體" w:eastAsia="標楷體" w:hAnsi="標楷體" w:hint="eastAsia"/>
          <w:color w:val="auto"/>
          <w:kern w:val="0"/>
        </w:rPr>
        <w:t xml:space="preserve">           </w:t>
      </w:r>
      <w:r>
        <w:rPr>
          <w:rFonts w:ascii="標楷體" w:eastAsia="標楷體" w:hAnsi="標楷體" w:hint="eastAsia"/>
          <w:color w:val="auto"/>
          <w:kern w:val="0"/>
        </w:rPr>
        <w:t xml:space="preserve"> </w:t>
      </w:r>
      <w:r w:rsidRPr="00912107">
        <w:rPr>
          <w:rFonts w:ascii="標楷體" w:eastAsia="標楷體" w:hAnsi="標楷體" w:hint="eastAsia"/>
          <w:color w:val="auto"/>
          <w:kern w:val="0"/>
        </w:rPr>
        <w:t>前項各主管機關之審查作業得</w:t>
      </w:r>
      <w:proofErr w:type="gramStart"/>
      <w:r w:rsidRPr="00912107">
        <w:rPr>
          <w:rFonts w:ascii="標楷體" w:eastAsia="標楷體" w:hAnsi="標楷體" w:hint="eastAsia"/>
          <w:color w:val="auto"/>
          <w:kern w:val="0"/>
        </w:rPr>
        <w:t>採併</w:t>
      </w:r>
      <w:proofErr w:type="gramEnd"/>
      <w:r w:rsidRPr="00912107">
        <w:rPr>
          <w:rFonts w:ascii="標楷體" w:eastAsia="標楷體" w:hAnsi="標楷體" w:hint="eastAsia"/>
          <w:color w:val="auto"/>
          <w:kern w:val="0"/>
        </w:rPr>
        <w:t>行方式辦理。</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第二十七</w:t>
      </w:r>
      <w:r w:rsidRPr="00912107">
        <w:rPr>
          <w:rFonts w:ascii="標楷體" w:eastAsia="標楷體" w:hAnsi="標楷體" w:hint="eastAsia"/>
          <w:color w:val="auto"/>
          <w:kern w:val="0"/>
        </w:rPr>
        <w:t xml:space="preserve">條 </w:t>
      </w:r>
      <w:r>
        <w:rPr>
          <w:rFonts w:ascii="標楷體" w:eastAsia="標楷體" w:hAnsi="標楷體" w:hint="eastAsia"/>
          <w:color w:val="auto"/>
          <w:kern w:val="0"/>
        </w:rPr>
        <w:t xml:space="preserve"> 本</w:t>
      </w:r>
      <w:r w:rsidRPr="00E25EB6">
        <w:rPr>
          <w:rFonts w:ascii="標楷體" w:eastAsia="標楷體" w:hAnsi="標楷體" w:hint="eastAsia"/>
          <w:color w:val="auto"/>
          <w:kern w:val="0"/>
        </w:rPr>
        <w:t>規範</w:t>
      </w:r>
      <w:r w:rsidRPr="00D12AB6">
        <w:rPr>
          <w:rFonts w:ascii="標楷體" w:eastAsia="標楷體" w:hAnsi="標楷體" w:hint="eastAsia"/>
          <w:color w:val="auto"/>
          <w:kern w:val="0"/>
        </w:rPr>
        <w:t>中所為原則性之規定，如申請案經</w:t>
      </w:r>
      <w:r w:rsidRPr="003C3EFB">
        <w:rPr>
          <w:rFonts w:ascii="標楷體" w:eastAsia="標楷體" w:hAnsi="標楷體" w:hint="eastAsia"/>
          <w:color w:val="auto"/>
          <w:kern w:val="0"/>
        </w:rPr>
        <w:t>大坑風景特定</w:t>
      </w:r>
      <w:r w:rsidRPr="003C3EFB">
        <w:rPr>
          <w:rFonts w:ascii="標楷體" w:eastAsia="標楷體" w:hAnsi="標楷體" w:hint="eastAsia"/>
          <w:color w:val="auto"/>
          <w:kern w:val="0"/>
        </w:rPr>
        <w:lastRenderedPageBreak/>
        <w:t>區景觀審議委員會</w:t>
      </w:r>
      <w:r w:rsidRPr="00D12AB6">
        <w:rPr>
          <w:rFonts w:ascii="標楷體" w:eastAsia="標楷體" w:hAnsi="標楷體" w:hint="eastAsia"/>
          <w:color w:val="auto"/>
          <w:kern w:val="0"/>
        </w:rPr>
        <w:t>審議通過，除牴觸法令規定者外，得不受此原則性之規定限制</w:t>
      </w:r>
      <w:r w:rsidRPr="00912107">
        <w:rPr>
          <w:rFonts w:ascii="標楷體" w:eastAsia="標楷體" w:hAnsi="標楷體" w:hint="eastAsia"/>
          <w:color w:val="auto"/>
          <w:kern w:val="0"/>
        </w:rPr>
        <w:t>。</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第二十八</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w:t>
      </w:r>
      <w:r w:rsidRPr="00E25EB6">
        <w:rPr>
          <w:rFonts w:ascii="標楷體" w:eastAsia="標楷體" w:hAnsi="標楷體" w:hint="eastAsia"/>
          <w:color w:val="auto"/>
          <w:kern w:val="0"/>
        </w:rPr>
        <w:t>規範</w:t>
      </w:r>
      <w:proofErr w:type="gramStart"/>
      <w:r w:rsidRPr="00912107">
        <w:rPr>
          <w:rFonts w:ascii="標楷體" w:eastAsia="標楷體" w:hAnsi="標楷體" w:hint="eastAsia"/>
          <w:color w:val="auto"/>
          <w:kern w:val="0"/>
        </w:rPr>
        <w:t>所需書表</w:t>
      </w:r>
      <w:proofErr w:type="gramEnd"/>
      <w:r w:rsidRPr="00912107">
        <w:rPr>
          <w:rFonts w:ascii="標楷體" w:eastAsia="標楷體" w:hAnsi="標楷體" w:hint="eastAsia"/>
          <w:color w:val="auto"/>
          <w:kern w:val="0"/>
        </w:rPr>
        <w:t>格式</w:t>
      </w:r>
      <w:r>
        <w:rPr>
          <w:rFonts w:ascii="標楷體" w:eastAsia="標楷體" w:hAnsi="標楷體" w:hint="eastAsia"/>
          <w:color w:val="auto"/>
          <w:kern w:val="0"/>
        </w:rPr>
        <w:t>，</w:t>
      </w:r>
      <w:r w:rsidRPr="00912107">
        <w:rPr>
          <w:rFonts w:ascii="標楷體" w:eastAsia="標楷體" w:hAnsi="標楷體" w:hint="eastAsia"/>
          <w:color w:val="auto"/>
          <w:kern w:val="0"/>
        </w:rPr>
        <w:t>由</w:t>
      </w:r>
      <w:r>
        <w:rPr>
          <w:rFonts w:ascii="標楷體" w:eastAsia="標楷體" w:hAnsi="標楷體" w:hint="eastAsia"/>
          <w:color w:val="auto"/>
          <w:kern w:val="0"/>
        </w:rPr>
        <w:t>都發局</w:t>
      </w:r>
      <w:r w:rsidRPr="00912107">
        <w:rPr>
          <w:rFonts w:ascii="標楷體" w:eastAsia="標楷體" w:hAnsi="標楷體" w:hint="eastAsia"/>
          <w:color w:val="auto"/>
          <w:kern w:val="0"/>
        </w:rPr>
        <w:t>另訂公告之。</w:t>
      </w:r>
      <w:r w:rsidRPr="00912107">
        <w:rPr>
          <w:rFonts w:ascii="標楷體" w:eastAsia="標楷體" w:hAnsi="標楷體" w:hint="eastAsia"/>
          <w:color w:val="auto"/>
          <w:kern w:val="0"/>
        </w:rPr>
        <w:tab/>
      </w:r>
    </w:p>
    <w:p w:rsidR="00635634" w:rsidRPr="00912107" w:rsidRDefault="00635634" w:rsidP="00635634">
      <w:pPr>
        <w:pStyle w:val="a5"/>
        <w:spacing w:line="460" w:lineRule="exact"/>
        <w:ind w:left="1418" w:hanging="1418"/>
        <w:rPr>
          <w:rFonts w:ascii="標楷體" w:eastAsia="標楷體" w:hAnsi="標楷體" w:hint="eastAsia"/>
          <w:color w:val="auto"/>
          <w:kern w:val="0"/>
        </w:rPr>
      </w:pPr>
      <w:r>
        <w:rPr>
          <w:rFonts w:ascii="標楷體" w:eastAsia="標楷體" w:hAnsi="標楷體" w:hint="eastAsia"/>
          <w:color w:val="auto"/>
          <w:kern w:val="0"/>
        </w:rPr>
        <w:t>第二</w:t>
      </w:r>
      <w:r w:rsidRPr="00912107">
        <w:rPr>
          <w:rFonts w:ascii="標楷體" w:eastAsia="標楷體" w:hAnsi="標楷體" w:hint="eastAsia"/>
          <w:color w:val="auto"/>
          <w:kern w:val="0"/>
        </w:rPr>
        <w:t>十</w:t>
      </w:r>
      <w:r>
        <w:rPr>
          <w:rFonts w:ascii="標楷體" w:eastAsia="標楷體" w:hAnsi="標楷體" w:hint="eastAsia"/>
          <w:color w:val="auto"/>
          <w:kern w:val="0"/>
        </w:rPr>
        <w:t>九</w:t>
      </w:r>
      <w:r w:rsidRPr="00912107">
        <w:rPr>
          <w:rFonts w:ascii="標楷體" w:eastAsia="標楷體" w:hAnsi="標楷體" w:hint="eastAsia"/>
          <w:color w:val="auto"/>
          <w:kern w:val="0"/>
        </w:rPr>
        <w:t>條</w:t>
      </w:r>
      <w:r>
        <w:rPr>
          <w:rFonts w:ascii="標楷體" w:eastAsia="標楷體" w:hAnsi="標楷體" w:hint="eastAsia"/>
          <w:color w:val="auto"/>
          <w:kern w:val="0"/>
        </w:rPr>
        <w:t xml:space="preserve">  </w:t>
      </w:r>
      <w:r w:rsidRPr="00912107">
        <w:rPr>
          <w:rFonts w:ascii="標楷體" w:eastAsia="標楷體" w:hAnsi="標楷體" w:hint="eastAsia"/>
          <w:color w:val="auto"/>
          <w:kern w:val="0"/>
        </w:rPr>
        <w:t>本</w:t>
      </w:r>
      <w:r w:rsidRPr="00E25EB6">
        <w:rPr>
          <w:rFonts w:ascii="標楷體" w:eastAsia="標楷體" w:hAnsi="標楷體" w:hint="eastAsia"/>
          <w:color w:val="auto"/>
          <w:kern w:val="0"/>
        </w:rPr>
        <w:t>規範</w:t>
      </w:r>
      <w:r w:rsidRPr="00912107">
        <w:rPr>
          <w:rFonts w:ascii="標楷體" w:eastAsia="標楷體" w:hAnsi="標楷體" w:hint="eastAsia"/>
          <w:color w:val="auto"/>
          <w:kern w:val="0"/>
        </w:rPr>
        <w:t>自發布日施行。</w:t>
      </w:r>
      <w:r w:rsidRPr="00912107">
        <w:rPr>
          <w:rFonts w:ascii="標楷體" w:eastAsia="標楷體" w:hAnsi="標楷體" w:hint="eastAsia"/>
          <w:color w:val="auto"/>
          <w:kern w:val="0"/>
        </w:rPr>
        <w:tab/>
      </w:r>
    </w:p>
    <w:p w:rsidR="00D86AF3" w:rsidRPr="00635634" w:rsidRDefault="00D86AF3"/>
    <w:sectPr w:rsidR="00D86AF3" w:rsidRPr="00635634" w:rsidSect="005D6346">
      <w:footerReference w:type="default" r:id="rId4"/>
      <w:pgSz w:w="11906" w:h="16838"/>
      <w:pgMar w:top="1440" w:right="1800" w:bottom="1440" w:left="1800" w:header="851" w:footer="334" w:gutter="0"/>
      <w:pgNumType w:fmt="taiwaneseCountingThousand"/>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華康儷楷書">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E0000" w:usb2="00000010" w:usb3="00000000" w:csb0="001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11C" w:rsidRPr="00896280" w:rsidRDefault="00635634">
    <w:pPr>
      <w:pStyle w:val="a3"/>
      <w:jc w:val="center"/>
      <w:rPr>
        <w:rFonts w:ascii="標楷體" w:eastAsia="標楷體" w:hAnsi="標楷體"/>
      </w:rPr>
    </w:pPr>
    <w:r w:rsidRPr="00896280">
      <w:rPr>
        <w:rFonts w:ascii="標楷體" w:eastAsia="標楷體" w:hAnsi="標楷體" w:hint="eastAsia"/>
      </w:rPr>
      <w:t>第</w:t>
    </w:r>
    <w:r w:rsidRPr="00896280">
      <w:rPr>
        <w:rFonts w:ascii="標楷體" w:eastAsia="標楷體" w:hAnsi="標楷體"/>
      </w:rPr>
      <w:fldChar w:fldCharType="begin"/>
    </w:r>
    <w:r w:rsidRPr="00896280">
      <w:rPr>
        <w:rFonts w:ascii="標楷體" w:eastAsia="標楷體" w:hAnsi="標楷體"/>
      </w:rPr>
      <w:instrText xml:space="preserve"> PAGE   \* MERGEFORMAT </w:instrText>
    </w:r>
    <w:r w:rsidRPr="00896280">
      <w:rPr>
        <w:rFonts w:ascii="標楷體" w:eastAsia="標楷體" w:hAnsi="標楷體"/>
      </w:rPr>
      <w:fldChar w:fldCharType="separate"/>
    </w:r>
    <w:r w:rsidRPr="00635634">
      <w:rPr>
        <w:rFonts w:ascii="標楷體" w:eastAsia="標楷體" w:hAnsi="標楷體" w:hint="eastAsia"/>
        <w:noProof/>
        <w:lang w:val="zh-TW"/>
      </w:rPr>
      <w:t>一</w:t>
    </w:r>
    <w:r w:rsidRPr="00896280">
      <w:rPr>
        <w:rFonts w:ascii="標楷體" w:eastAsia="標楷體" w:hAnsi="標楷體"/>
      </w:rPr>
      <w:fldChar w:fldCharType="end"/>
    </w:r>
    <w:r w:rsidRPr="00896280">
      <w:rPr>
        <w:rFonts w:ascii="標楷體" w:eastAsia="標楷體" w:hAnsi="標楷體" w:hint="eastAsia"/>
      </w:rPr>
      <w:t>頁</w:t>
    </w:r>
  </w:p>
  <w:p w:rsidR="002C611C" w:rsidRDefault="00635634">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35634"/>
    <w:rsid w:val="00286E30"/>
    <w:rsid w:val="00635634"/>
    <w:rsid w:val="00897518"/>
    <w:rsid w:val="0090299A"/>
    <w:rsid w:val="00D86AF3"/>
    <w:rsid w:val="00E042B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63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35634"/>
    <w:pPr>
      <w:tabs>
        <w:tab w:val="center" w:pos="4153"/>
        <w:tab w:val="right" w:pos="8306"/>
      </w:tabs>
      <w:snapToGrid w:val="0"/>
    </w:pPr>
    <w:rPr>
      <w:sz w:val="20"/>
    </w:rPr>
  </w:style>
  <w:style w:type="character" w:customStyle="1" w:styleId="a4">
    <w:name w:val="頁尾 字元"/>
    <w:basedOn w:val="a0"/>
    <w:link w:val="a3"/>
    <w:uiPriority w:val="99"/>
    <w:rsid w:val="00635634"/>
    <w:rPr>
      <w:rFonts w:ascii="Times New Roman" w:eastAsia="新細明體" w:hAnsi="Times New Roman" w:cs="Times New Roman"/>
      <w:sz w:val="20"/>
      <w:szCs w:val="20"/>
    </w:rPr>
  </w:style>
  <w:style w:type="paragraph" w:customStyle="1" w:styleId="a5">
    <w:name w:val="一、"/>
    <w:basedOn w:val="a"/>
    <w:rsid w:val="00635634"/>
    <w:pPr>
      <w:spacing w:before="120" w:after="120" w:line="480" w:lineRule="exact"/>
      <w:ind w:left="567" w:hanging="567"/>
      <w:jc w:val="both"/>
    </w:pPr>
    <w:rPr>
      <w:rFonts w:eastAsia="華康儷楷書"/>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559</Words>
  <Characters>3192</Characters>
  <Application>Microsoft Office Word</Application>
  <DocSecurity>0</DocSecurity>
  <Lines>26</Lines>
  <Paragraphs>7</Paragraphs>
  <ScaleCrop>false</ScaleCrop>
  <Company>Hewlett-Packard Company</Company>
  <LinksUpToDate>false</LinksUpToDate>
  <CharactersWithSpaces>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m71209</cp:lastModifiedBy>
  <cp:revision>1</cp:revision>
  <dcterms:created xsi:type="dcterms:W3CDTF">2016-10-13T01:54:00Z</dcterms:created>
  <dcterms:modified xsi:type="dcterms:W3CDTF">2016-10-13T01:54:00Z</dcterms:modified>
</cp:coreProperties>
</file>