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標楷體" w:hAnsi="標楷體" w:eastAsia="標楷體"/>
          <w:b/>
          <w:b/>
          <w:sz w:val="40"/>
          <w:szCs w:val="40"/>
        </w:rPr>
      </w:pPr>
      <w:r>
        <w:rPr>
          <w:rFonts w:ascii="標楷體" w:hAnsi="標楷體" w:eastAsia="標楷體"/>
          <w:b/>
          <w:sz w:val="40"/>
          <w:szCs w:val="40"/>
        </w:rPr>
        <w:t>臺中市政府應用勞動部勞工保險局資料管理要點</w:t>
      </w:r>
    </w:p>
    <w:p>
      <w:pPr>
        <w:pStyle w:val="Normal"/>
        <w:jc w:val="right"/>
        <w:rPr>
          <w:rFonts w:ascii="標楷體" w:hAnsi="標楷體" w:eastAsia="標楷體"/>
          <w:spacing w:val="-20"/>
          <w:sz w:val="20"/>
        </w:rPr>
      </w:pPr>
      <w:r>
        <w:rPr>
          <w:rFonts w:ascii="標楷體" w:hAnsi="標楷體" w:eastAsia="標楷體"/>
          <w:spacing w:val="-20"/>
          <w:sz w:val="20"/>
        </w:rPr>
        <w:t>中華民國</w:t>
      </w:r>
      <w:r>
        <w:rPr>
          <w:rFonts w:eastAsia="標楷體" w:ascii="標楷體" w:hAnsi="標楷體"/>
          <w:spacing w:val="-20"/>
          <w:sz w:val="20"/>
        </w:rPr>
        <w:t>105</w:t>
      </w:r>
      <w:r>
        <w:rPr>
          <w:rFonts w:ascii="標楷體" w:hAnsi="標楷體" w:eastAsia="標楷體"/>
          <w:spacing w:val="-20"/>
          <w:sz w:val="20"/>
        </w:rPr>
        <w:t>年</w:t>
      </w:r>
      <w:r>
        <w:rPr>
          <w:rFonts w:eastAsia="標楷體" w:ascii="標楷體" w:hAnsi="標楷體"/>
          <w:spacing w:val="-20"/>
          <w:sz w:val="20"/>
        </w:rPr>
        <w:t>7</w:t>
      </w:r>
      <w:r>
        <w:rPr>
          <w:rFonts w:ascii="標楷體" w:hAnsi="標楷體" w:eastAsia="標楷體"/>
          <w:spacing w:val="-20"/>
          <w:sz w:val="20"/>
        </w:rPr>
        <w:t>月</w:t>
      </w:r>
      <w:r>
        <w:rPr>
          <w:rFonts w:eastAsia="標楷體" w:ascii="標楷體" w:hAnsi="標楷體"/>
          <w:spacing w:val="-20"/>
          <w:sz w:val="20"/>
        </w:rPr>
        <w:t>11</w:t>
      </w:r>
      <w:r>
        <w:rPr>
          <w:rFonts w:ascii="標楷體" w:hAnsi="標楷體" w:eastAsia="標楷體"/>
          <w:spacing w:val="-20"/>
          <w:sz w:val="20"/>
        </w:rPr>
        <w:t>日府授資服字第</w:t>
      </w:r>
      <w:r>
        <w:rPr>
          <w:rFonts w:eastAsia="標楷體" w:ascii="標楷體" w:hAnsi="標楷體"/>
          <w:spacing w:val="-20"/>
          <w:sz w:val="20"/>
        </w:rPr>
        <w:t>1050145795</w:t>
      </w:r>
      <w:r>
        <w:rPr>
          <w:rFonts w:ascii="標楷體" w:hAnsi="標楷體" w:eastAsia="標楷體"/>
          <w:spacing w:val="-20"/>
          <w:sz w:val="20"/>
        </w:rPr>
        <w:t>號函訂定</w:t>
      </w:r>
    </w:p>
    <w:p>
      <w:pPr>
        <w:pStyle w:val="Normal"/>
        <w:jc w:val="right"/>
        <w:rPr/>
      </w:pPr>
      <w:r>
        <w:rPr>
          <w:rFonts w:ascii="標楷體" w:hAnsi="標楷體" w:eastAsia="標楷體"/>
          <w:spacing w:val="-20"/>
          <w:sz w:val="20"/>
        </w:rPr>
        <w:t>中華民國</w:t>
      </w:r>
      <w:r>
        <w:rPr>
          <w:rFonts w:eastAsia="標楷體" w:ascii="標楷體" w:hAnsi="標楷體"/>
          <w:spacing w:val="-20"/>
          <w:sz w:val="20"/>
        </w:rPr>
        <w:t>105</w:t>
      </w:r>
      <w:r>
        <w:rPr>
          <w:rFonts w:ascii="標楷體" w:hAnsi="標楷體" w:eastAsia="標楷體"/>
          <w:spacing w:val="-20"/>
          <w:sz w:val="20"/>
        </w:rPr>
        <w:t>年</w:t>
      </w:r>
      <w:r>
        <w:rPr>
          <w:rFonts w:eastAsia="標楷體" w:ascii="標楷體" w:hAnsi="標楷體"/>
          <w:spacing w:val="-20"/>
          <w:sz w:val="20"/>
        </w:rPr>
        <w:t>8</w:t>
      </w:r>
      <w:r>
        <w:rPr>
          <w:rFonts w:ascii="標楷體" w:hAnsi="標楷體" w:eastAsia="標楷體"/>
          <w:spacing w:val="-20"/>
          <w:sz w:val="20"/>
        </w:rPr>
        <w:t>月</w:t>
      </w:r>
      <w:r>
        <w:rPr>
          <w:rFonts w:eastAsia="標楷體" w:ascii="標楷體" w:hAnsi="標楷體"/>
          <w:spacing w:val="-20"/>
          <w:sz w:val="20"/>
        </w:rPr>
        <w:t>11</w:t>
      </w:r>
      <w:r>
        <w:rPr>
          <w:rFonts w:ascii="標楷體" w:hAnsi="標楷體" w:eastAsia="標楷體"/>
          <w:spacing w:val="-20"/>
          <w:sz w:val="20"/>
        </w:rPr>
        <w:t>日</w:t>
      </w:r>
      <w:r>
        <w:rPr>
          <w:rFonts w:ascii="標楷體" w:hAnsi="標楷體" w:eastAsia="標楷體"/>
          <w:spacing w:val="-20"/>
          <w:sz w:val="20"/>
        </w:rPr>
        <w:t>府授資服字第</w:t>
      </w:r>
      <w:r>
        <w:rPr>
          <w:rFonts w:eastAsia="標楷體" w:ascii="標楷體" w:hAnsi="標楷體"/>
          <w:spacing w:val="-20"/>
          <w:sz w:val="20"/>
        </w:rPr>
        <w:t>1050171112</w:t>
      </w:r>
      <w:r>
        <w:rPr>
          <w:rFonts w:ascii="標楷體" w:hAnsi="標楷體" w:eastAsia="標楷體"/>
          <w:spacing w:val="-20"/>
          <w:sz w:val="20"/>
        </w:rPr>
        <w:t>號</w:t>
      </w:r>
      <w:r>
        <w:rPr>
          <w:rFonts w:ascii="標楷體" w:hAnsi="標楷體" w:eastAsia="標楷體"/>
          <w:spacing w:val="-20"/>
          <w:sz w:val="20"/>
        </w:rPr>
        <w:t>函修正</w:t>
      </w:r>
    </w:p>
    <w:p>
      <w:pPr>
        <w:pStyle w:val="ListParagraph"/>
        <w:numPr>
          <w:ilvl w:val="0"/>
          <w:numId w:val="1"/>
        </w:numPr>
        <w:spacing w:lineRule="exact" w:line="500"/>
        <w:ind w:left="567" w:right="28" w:hanging="567"/>
        <w:jc w:val="both"/>
        <w:rPr>
          <w:rFonts w:ascii="標楷體" w:hAnsi="標楷體" w:eastAsia="標楷體"/>
          <w:sz w:val="28"/>
          <w:szCs w:val="28"/>
        </w:rPr>
      </w:pPr>
      <w:r>
        <w:rPr>
          <w:rFonts w:ascii="標楷體" w:hAnsi="標楷體" w:eastAsia="標楷體"/>
          <w:sz w:val="28"/>
          <w:szCs w:val="28"/>
        </w:rPr>
        <w:t>臺中市政府</w:t>
      </w:r>
      <w:r>
        <w:rPr>
          <w:rFonts w:eastAsia="標楷體" w:ascii="標楷體" w:hAnsi="標楷體"/>
          <w:sz w:val="28"/>
          <w:szCs w:val="28"/>
        </w:rPr>
        <w:t>(</w:t>
      </w:r>
      <w:r>
        <w:rPr>
          <w:rFonts w:ascii="標楷體" w:hAnsi="標楷體" w:eastAsia="標楷體"/>
          <w:sz w:val="28"/>
          <w:szCs w:val="28"/>
        </w:rPr>
        <w:t>以下簡稱本府</w:t>
      </w:r>
      <w:r>
        <w:rPr>
          <w:rFonts w:eastAsia="標楷體" w:ascii="標楷體" w:hAnsi="標楷體"/>
          <w:sz w:val="28"/>
          <w:szCs w:val="28"/>
        </w:rPr>
        <w:t>)</w:t>
      </w:r>
      <w:r>
        <w:rPr>
          <w:rFonts w:ascii="標楷體" w:hAnsi="標楷體" w:eastAsia="標楷體"/>
          <w:sz w:val="28"/>
          <w:szCs w:val="28"/>
        </w:rPr>
        <w:t>為規範本府所屬各機關及臺中市</w:t>
      </w:r>
      <w:r>
        <w:rPr>
          <w:rFonts w:eastAsia="標楷體" w:ascii="標楷體" w:hAnsi="標楷體"/>
          <w:sz w:val="28"/>
          <w:szCs w:val="28"/>
        </w:rPr>
        <w:t>(</w:t>
      </w:r>
      <w:r>
        <w:rPr>
          <w:rFonts w:ascii="標楷體" w:hAnsi="標楷體" w:eastAsia="標楷體"/>
          <w:sz w:val="28"/>
          <w:szCs w:val="28"/>
        </w:rPr>
        <w:t>以下簡稱本市</w:t>
      </w:r>
      <w:r>
        <w:rPr>
          <w:rFonts w:eastAsia="標楷體" w:ascii="標楷體" w:hAnsi="標楷體"/>
          <w:sz w:val="28"/>
          <w:szCs w:val="28"/>
        </w:rPr>
        <w:t>)</w:t>
      </w:r>
      <w:r>
        <w:rPr>
          <w:rFonts w:ascii="標楷體" w:hAnsi="標楷體" w:eastAsia="標楷體"/>
          <w:sz w:val="28"/>
          <w:szCs w:val="28"/>
        </w:rPr>
        <w:t>和平區公所人員使用電子化政府服務平臺勞動部勞工保險局資訊中介服務</w:t>
      </w:r>
      <w:r>
        <w:rPr>
          <w:rFonts w:eastAsia="標楷體" w:ascii="標楷體" w:hAnsi="標楷體"/>
          <w:sz w:val="28"/>
          <w:szCs w:val="28"/>
        </w:rPr>
        <w:t>(</w:t>
      </w:r>
      <w:r>
        <w:rPr>
          <w:rFonts w:ascii="標楷體" w:hAnsi="標楷體" w:eastAsia="標楷體"/>
          <w:sz w:val="28"/>
          <w:szCs w:val="28"/>
        </w:rPr>
        <w:t>以下簡稱勞保</w:t>
      </w:r>
      <w:r>
        <w:rPr>
          <w:rFonts w:eastAsia="標楷體" w:ascii="標楷體" w:hAnsi="標楷體"/>
          <w:sz w:val="28"/>
          <w:szCs w:val="28"/>
        </w:rPr>
        <w:t>WebIR</w:t>
      </w:r>
      <w:r>
        <w:rPr>
          <w:rFonts w:ascii="標楷體" w:hAnsi="標楷體" w:eastAsia="標楷體"/>
          <w:sz w:val="28"/>
          <w:szCs w:val="28"/>
        </w:rPr>
        <w:t>），並確保妥適應用勞</w:t>
      </w:r>
      <w:bookmarkStart w:id="0" w:name="_GoBack"/>
      <w:bookmarkEnd w:id="0"/>
      <w:r>
        <w:rPr>
          <w:rFonts w:ascii="標楷體" w:hAnsi="標楷體" w:eastAsia="標楷體"/>
          <w:sz w:val="28"/>
          <w:szCs w:val="28"/>
        </w:rPr>
        <w:t>動部勞工保險局資料</w:t>
      </w:r>
      <w:r>
        <w:rPr>
          <w:rFonts w:eastAsia="標楷體" w:ascii="標楷體" w:hAnsi="標楷體"/>
          <w:sz w:val="28"/>
          <w:szCs w:val="28"/>
        </w:rPr>
        <w:t>(</w:t>
      </w:r>
      <w:r>
        <w:rPr>
          <w:rFonts w:ascii="標楷體" w:hAnsi="標楷體" w:eastAsia="標楷體"/>
          <w:sz w:val="28"/>
          <w:szCs w:val="28"/>
        </w:rPr>
        <w:t>以下簡稱勞保局資料</w:t>
      </w:r>
      <w:r>
        <w:rPr>
          <w:rFonts w:eastAsia="標楷體" w:ascii="標楷體" w:hAnsi="標楷體"/>
          <w:sz w:val="28"/>
          <w:szCs w:val="28"/>
        </w:rPr>
        <w:t>)</w:t>
      </w:r>
      <w:r>
        <w:rPr>
          <w:rFonts w:ascii="標楷體" w:hAnsi="標楷體" w:eastAsia="標楷體"/>
          <w:sz w:val="28"/>
          <w:szCs w:val="28"/>
        </w:rPr>
        <w:t>，落實資訊安全，避免個人資料不當使用或外洩</w:t>
      </w:r>
      <w:r>
        <w:rPr>
          <w:rFonts w:ascii="標楷體" w:hAnsi="標楷體" w:cs="新細明體" w:eastAsia="標楷體"/>
          <w:sz w:val="28"/>
          <w:szCs w:val="28"/>
        </w:rPr>
        <w:t>，以保障民眾個人隱私，特</w:t>
      </w:r>
      <w:r>
        <w:rPr>
          <w:rFonts w:ascii="標楷體" w:hAnsi="標楷體" w:eastAsia="標楷體"/>
          <w:sz w:val="28"/>
          <w:szCs w:val="28"/>
        </w:rPr>
        <w:t>訂定本要點。</w:t>
      </w:r>
    </w:p>
    <w:p>
      <w:pPr>
        <w:pStyle w:val="ListParagraph"/>
        <w:numPr>
          <w:ilvl w:val="0"/>
          <w:numId w:val="1"/>
        </w:numPr>
        <w:spacing w:lineRule="exact" w:line="500"/>
        <w:ind w:left="567" w:right="31" w:hanging="567"/>
        <w:jc w:val="both"/>
        <w:rPr>
          <w:rFonts w:ascii="標楷體" w:hAnsi="標楷體" w:eastAsia="標楷體"/>
          <w:sz w:val="28"/>
          <w:szCs w:val="28"/>
        </w:rPr>
      </w:pPr>
      <w:r>
        <w:rPr>
          <w:rFonts w:ascii="標楷體" w:hAnsi="標楷體" w:eastAsia="標楷體"/>
          <w:sz w:val="28"/>
          <w:szCs w:val="28"/>
        </w:rPr>
        <w:t>勞保局資料之使用機關及業務應用範圍如下：</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依社會救助法第四十四條之三規定，供本府社會局及本市各區公所辦理社會救助及社會福利相關業務。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依身心障礙者權益保障法第七十一條之一及身心障礙者參加社會保險保險費補助辦法第六條規定，供本府社會局及本市各區公所辦理社會福利相關業務。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依兒童及少年福利與權益保障法第七十條第二項、第三項及第二十三條規定，供本府社會局辦理社會福利相關業務。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依老人福利法第十二條之一及老人福利機構設立標準第八條規定，供本府社會局審查老人福利機構聘任之工作人員是否依規投保等相關業務。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依勞工退休金條例第四十條規定，供本府勞工局審查勞工退休準備金及補助弱勢勞工就讀勞工大學等勞政相關業務。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依社會救助法第四十四條之三及老人福利法第十二條之一規定，供本府勞工局辦理弱勢民眾就業或職訓期間家庭安置等勞政相關業務。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依個人資料保護法第十六條規定，供本府勞工局、就業服務處及轄屬各就業服務站辦理模範勞工選拔、勞資爭議、各類就業計畫或方案資格審查等勞政相關業務。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依就業服務法第三十三條第一項及第六十二條規定，供本府勞工局辦理撤銷修正資遣通報及查察違法外勞等勞政相關業務。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依身心障礙者權益保障法第三十三條規定，供本府勞工局辦理身心障礙者職業訓練課程。</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依勞動檢查法第十五條規定，供本府勞動檢查處辦理勞動檢查相關業務。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依兵役法第一條、第三十二條及徵兵規則第四條規定，供本府民政局及本市各區公所辦理役男徵兵處理相關業務。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依戶籍法第五十條第一項、第六十八條、清查人口作業規定第一條及第二條規定，供本府民政局及本市各戶政事務所審查虛報遷徙及逕遷戶所業務。</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依稅捐稽徵法第三十條規定，供本府地方稅務局及轄屬各分局調查課稅資料</w:t>
      </w:r>
      <w:r>
        <w:rPr>
          <w:rFonts w:eastAsia="標楷體" w:ascii="標楷體" w:hAnsi="標楷體"/>
          <w:sz w:val="28"/>
          <w:szCs w:val="28"/>
        </w:rPr>
        <w:t>(</w:t>
      </w:r>
      <w:r>
        <w:rPr>
          <w:rFonts w:ascii="標楷體" w:hAnsi="標楷體" w:eastAsia="標楷體"/>
          <w:sz w:val="28"/>
          <w:szCs w:val="28"/>
        </w:rPr>
        <w:t>辦理各類稅賦開徵及催繳計畫、欠稅清理及執行、稅務違章審理及行政救濟等相關業務</w:t>
      </w:r>
      <w:r>
        <w:rPr>
          <w:rFonts w:eastAsia="標楷體" w:ascii="標楷體" w:hAnsi="標楷體"/>
          <w:sz w:val="28"/>
          <w:szCs w:val="28"/>
        </w:rPr>
        <w:t>)</w:t>
      </w:r>
      <w:r>
        <w:rPr>
          <w:rFonts w:ascii="標楷體" w:hAnsi="標楷體" w:eastAsia="標楷體"/>
          <w:sz w:val="28"/>
          <w:szCs w:val="28"/>
        </w:rPr>
        <w:t>。</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依刑事訴訟法第二百二十九條及第二百三十條規定，供本府警察局刑事警察大隊各偵查隊及各分局偵查隊偵辦各類刑案。</w:t>
      </w:r>
    </w:p>
    <w:p>
      <w:pPr>
        <w:pStyle w:val="ListParagraph"/>
        <w:numPr>
          <w:ilvl w:val="0"/>
          <w:numId w:val="2"/>
        </w:numPr>
        <w:spacing w:lineRule="exact" w:line="500"/>
        <w:ind w:left="1134" w:hanging="567"/>
        <w:jc w:val="both"/>
        <w:rPr>
          <w:rFonts w:ascii="標楷體" w:hAnsi="標楷體" w:eastAsia="標楷體"/>
          <w:sz w:val="28"/>
          <w:szCs w:val="28"/>
        </w:rPr>
      </w:pPr>
      <w:r>
        <w:rPr>
          <w:rFonts w:ascii="標楷體" w:hAnsi="標楷體" w:eastAsia="標楷體"/>
          <w:sz w:val="28"/>
          <w:szCs w:val="28"/>
        </w:rPr>
        <w:t>依國家賠償法施行細則第二十條規定，供本府建設局辦理國家賠償相關業務。</w:t>
      </w:r>
    </w:p>
    <w:p>
      <w:pPr>
        <w:pStyle w:val="ListParagraph"/>
        <w:numPr>
          <w:ilvl w:val="0"/>
          <w:numId w:val="1"/>
        </w:numPr>
        <w:spacing w:lineRule="exact" w:line="500"/>
        <w:ind w:left="567" w:right="31" w:hanging="567"/>
        <w:jc w:val="both"/>
        <w:rPr>
          <w:rFonts w:ascii="標楷體" w:hAnsi="標楷體" w:eastAsia="標楷體"/>
          <w:sz w:val="28"/>
          <w:szCs w:val="28"/>
        </w:rPr>
      </w:pPr>
      <w:r>
        <w:rPr>
          <w:rFonts w:ascii="標楷體" w:hAnsi="標楷體" w:eastAsia="標楷體"/>
          <w:sz w:val="28"/>
          <w:szCs w:val="28"/>
        </w:rPr>
        <w:t>使用者申請程序及管理規定如下：</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使用者須具我的</w:t>
      </w:r>
      <w:r>
        <w:rPr>
          <w:rFonts w:eastAsia="標楷體" w:ascii="標楷體" w:hAnsi="標楷體"/>
          <w:sz w:val="28"/>
          <w:szCs w:val="28"/>
        </w:rPr>
        <w:t>E</w:t>
      </w:r>
      <w:r>
        <w:rPr>
          <w:rFonts w:ascii="標楷體" w:hAnsi="標楷體" w:eastAsia="標楷體"/>
          <w:sz w:val="28"/>
          <w:szCs w:val="28"/>
        </w:rPr>
        <w:t>政府（</w:t>
      </w:r>
      <w:r>
        <w:rPr>
          <w:rFonts w:eastAsia="標楷體" w:ascii="標楷體" w:hAnsi="標楷體"/>
          <w:sz w:val="28"/>
          <w:szCs w:val="28"/>
        </w:rPr>
        <w:t>http://www.gov.tw</w:t>
      </w:r>
      <w:r>
        <w:rPr>
          <w:rFonts w:ascii="標楷體" w:hAnsi="標楷體" w:eastAsia="標楷體"/>
          <w:sz w:val="28"/>
          <w:szCs w:val="28"/>
        </w:rPr>
        <w:t>）公務機關會員帳號，並上傳其自然人憑證資訊。</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本府資訊中心設總管理者一名，負責本府一級機關及各區公所之機關管理者勞保</w:t>
      </w:r>
      <w:r>
        <w:rPr>
          <w:rFonts w:eastAsia="標楷體" w:ascii="標楷體" w:hAnsi="標楷體"/>
          <w:sz w:val="28"/>
          <w:szCs w:val="28"/>
        </w:rPr>
        <w:t>WebIR</w:t>
      </w:r>
      <w:r>
        <w:rPr>
          <w:rFonts w:ascii="標楷體" w:hAnsi="標楷體" w:eastAsia="標楷體"/>
          <w:sz w:val="28"/>
          <w:szCs w:val="28"/>
        </w:rPr>
        <w:t>權限申請之受理、管理及稽核作業；總管理者如有業務調動、離職情事，須報請電子化政府服務平臺處理。</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本府權限管理採分層負責，各需求機關設機關管理者一名，由總管理者配賦機關管理者，再由機關管理者配賦同層級內部使用者及下一層級管理者，最後一層級配賦內部使用者。</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機關管理者新增或異動時應填寫申請書</w:t>
      </w:r>
      <w:r>
        <w:rPr>
          <w:rFonts w:eastAsia="標楷體" w:ascii="標楷體" w:hAnsi="標楷體"/>
          <w:sz w:val="28"/>
          <w:szCs w:val="28"/>
        </w:rPr>
        <w:t>(</w:t>
      </w:r>
      <w:r>
        <w:rPr>
          <w:rFonts w:ascii="標楷體" w:hAnsi="標楷體" w:eastAsia="標楷體"/>
          <w:sz w:val="28"/>
          <w:szCs w:val="28"/>
        </w:rPr>
        <w:t>附表一</w:t>
      </w:r>
      <w:r>
        <w:rPr>
          <w:rFonts w:eastAsia="標楷體" w:ascii="標楷體" w:hAnsi="標楷體"/>
          <w:sz w:val="28"/>
          <w:szCs w:val="28"/>
        </w:rPr>
        <w:t>)</w:t>
      </w:r>
      <w:r>
        <w:rPr>
          <w:rFonts w:ascii="標楷體" w:hAnsi="標楷體" w:eastAsia="標楷體"/>
          <w:sz w:val="28"/>
          <w:szCs w:val="28"/>
        </w:rPr>
        <w:t>，經所屬主管及機關首長核可後，向上一層級管理者申請設定權限；各層級管理者應保留下一層級管理者申請表單至少一年，以供本府主管機關稽核使用。</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一般使用者新增或異動時應填寫申請書</w:t>
      </w:r>
      <w:r>
        <w:rPr>
          <w:rFonts w:eastAsia="標楷體" w:ascii="標楷體" w:hAnsi="標楷體"/>
          <w:sz w:val="28"/>
          <w:szCs w:val="28"/>
        </w:rPr>
        <w:t>(</w:t>
      </w:r>
      <w:r>
        <w:rPr>
          <w:rFonts w:ascii="標楷體" w:hAnsi="標楷體" w:eastAsia="標楷體"/>
          <w:sz w:val="28"/>
          <w:szCs w:val="28"/>
        </w:rPr>
        <w:t>附表二</w:t>
      </w:r>
      <w:r>
        <w:rPr>
          <w:rFonts w:eastAsia="標楷體" w:ascii="標楷體" w:hAnsi="標楷體"/>
          <w:sz w:val="28"/>
          <w:szCs w:val="28"/>
        </w:rPr>
        <w:t>)</w:t>
      </w:r>
      <w:r>
        <w:rPr>
          <w:rFonts w:ascii="標楷體" w:hAnsi="標楷體" w:eastAsia="標楷體"/>
          <w:sz w:val="28"/>
          <w:szCs w:val="28"/>
        </w:rPr>
        <w:t>，經所屬主管及機關首長核可後，向機關管理者提出申請，經核准後設定權限；各機關管理者應保留一般使用者申請表單至少一年，以供本府主管機關稽核使用。</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應以本人之自然人憑證登入系統，並對其自然人憑證及密碼負有保管及保密之責，不得使用非本人申請之帳號、帳號不得外借使用或禁止洩露他人帳號，且不得和他人共用帳號。</w:t>
      </w:r>
    </w:p>
    <w:p>
      <w:pPr>
        <w:pStyle w:val="ListParagraph"/>
        <w:numPr>
          <w:ilvl w:val="0"/>
          <w:numId w:val="5"/>
        </w:numPr>
        <w:spacing w:lineRule="exact" w:line="500"/>
        <w:ind w:left="1134" w:hanging="567"/>
        <w:jc w:val="both"/>
        <w:rPr>
          <w:rFonts w:ascii="標楷體" w:hAnsi="標楷體" w:eastAsia="標楷體"/>
          <w:sz w:val="28"/>
          <w:szCs w:val="28"/>
        </w:rPr>
      </w:pPr>
      <w:r>
        <w:rPr>
          <w:rFonts w:ascii="標楷體" w:hAnsi="標楷體" w:eastAsia="標楷體"/>
          <w:sz w:val="28"/>
          <w:szCs w:val="28"/>
        </w:rPr>
        <w:t>密碼應依我的</w:t>
      </w:r>
      <w:r>
        <w:rPr>
          <w:rFonts w:eastAsia="標楷體" w:ascii="標楷體" w:hAnsi="標楷體"/>
          <w:sz w:val="28"/>
          <w:szCs w:val="28"/>
        </w:rPr>
        <w:t>E</w:t>
      </w:r>
      <w:r>
        <w:rPr>
          <w:rFonts w:ascii="標楷體" w:hAnsi="標楷體" w:eastAsia="標楷體"/>
          <w:sz w:val="28"/>
          <w:szCs w:val="28"/>
        </w:rPr>
        <w:t>政府規範訂定適當長度及複雜度，並配合該平台規範定期更改密碼。</w:t>
      </w:r>
    </w:p>
    <w:p>
      <w:pPr>
        <w:pStyle w:val="Normal"/>
        <w:spacing w:lineRule="exact" w:line="500"/>
        <w:ind w:left="567" w:hanging="0"/>
        <w:jc w:val="both"/>
        <w:rPr>
          <w:rFonts w:ascii="標楷體" w:hAnsi="標楷體" w:eastAsia="標楷體"/>
          <w:sz w:val="28"/>
          <w:szCs w:val="28"/>
        </w:rPr>
      </w:pPr>
      <w:r>
        <w:rPr>
          <w:rFonts w:ascii="標楷體" w:hAnsi="標楷體" w:eastAsia="標楷體"/>
          <w:sz w:val="28"/>
          <w:szCs w:val="28"/>
        </w:rPr>
        <w:t>各機關管理者應定期辦理該機關帳號清查並建立使用者名冊，檢視使用者權限，並廢止重複、閒置、職務調整、離職及退休者帳號。</w:t>
      </w:r>
    </w:p>
    <w:p>
      <w:pPr>
        <w:pStyle w:val="Normal"/>
        <w:spacing w:lineRule="exact" w:line="500"/>
        <w:ind w:left="567" w:hanging="0"/>
        <w:jc w:val="both"/>
        <w:rPr>
          <w:rFonts w:ascii="標楷體" w:hAnsi="標楷體" w:eastAsia="標楷體"/>
          <w:sz w:val="28"/>
          <w:szCs w:val="28"/>
        </w:rPr>
      </w:pPr>
      <w:r>
        <w:rPr>
          <w:rFonts w:ascii="標楷體" w:hAnsi="標楷體" w:eastAsia="標楷體"/>
          <w:sz w:val="28"/>
        </w:rPr>
        <w:t>各機關管理者</w:t>
      </w:r>
      <w:r>
        <w:rPr>
          <w:rFonts w:ascii="標楷體" w:hAnsi="標楷體" w:eastAsia="標楷體"/>
          <w:sz w:val="28"/>
          <w:szCs w:val="28"/>
        </w:rPr>
        <w:t>其職務有異動時，應將所負責保管之相關使用者名冊及查詢紀錄文件資料列冊移交予新</w:t>
      </w:r>
      <w:r>
        <w:rPr>
          <w:rFonts w:ascii="標楷體" w:hAnsi="標楷體" w:eastAsia="標楷體"/>
          <w:sz w:val="28"/>
        </w:rPr>
        <w:t>機關</w:t>
      </w:r>
      <w:r>
        <w:rPr>
          <w:rFonts w:ascii="標楷體" w:hAnsi="標楷體" w:eastAsia="標楷體"/>
          <w:sz w:val="28"/>
          <w:szCs w:val="28"/>
        </w:rPr>
        <w:t>管理者。</w:t>
      </w:r>
    </w:p>
    <w:p>
      <w:pPr>
        <w:pStyle w:val="ListParagraph"/>
        <w:numPr>
          <w:ilvl w:val="0"/>
          <w:numId w:val="1"/>
        </w:numPr>
        <w:spacing w:lineRule="exact" w:line="500"/>
        <w:ind w:left="567" w:right="31" w:hanging="567"/>
        <w:jc w:val="both"/>
        <w:rPr>
          <w:rFonts w:ascii="標楷體" w:hAnsi="標楷體" w:eastAsia="標楷體"/>
          <w:sz w:val="28"/>
          <w:szCs w:val="28"/>
        </w:rPr>
      </w:pPr>
      <w:r>
        <w:rPr>
          <w:rFonts w:ascii="標楷體" w:hAnsi="標楷體" w:eastAsia="標楷體"/>
          <w:sz w:val="28"/>
          <w:szCs w:val="28"/>
        </w:rPr>
        <w:t>使用者</w:t>
      </w:r>
      <w:r>
        <w:rPr>
          <w:rFonts w:ascii="標楷體" w:hAnsi="標楷體" w:cs="新細明體" w:eastAsia="標楷體"/>
          <w:sz w:val="28"/>
          <w:szCs w:val="28"/>
        </w:rPr>
        <w:t>查詢</w:t>
      </w:r>
      <w:r>
        <w:rPr>
          <w:rFonts w:ascii="標楷體" w:hAnsi="標楷體" w:eastAsia="標楷體"/>
          <w:sz w:val="28"/>
          <w:szCs w:val="28"/>
        </w:rPr>
        <w:t>勞保局資料</w:t>
      </w:r>
      <w:r>
        <w:rPr>
          <w:rFonts w:ascii="標楷體" w:hAnsi="標楷體" w:cs="新細明體" w:eastAsia="標楷體"/>
          <w:sz w:val="28"/>
          <w:szCs w:val="28"/>
        </w:rPr>
        <w:t>管制措施如下：</w:t>
      </w:r>
    </w:p>
    <w:p>
      <w:pPr>
        <w:pStyle w:val="ListParagraph"/>
        <w:numPr>
          <w:ilvl w:val="0"/>
          <w:numId w:val="4"/>
        </w:numPr>
        <w:spacing w:lineRule="exact" w:line="500"/>
        <w:ind w:left="1134" w:hanging="567"/>
        <w:jc w:val="both"/>
        <w:rPr>
          <w:rFonts w:ascii="標楷體" w:hAnsi="標楷體" w:eastAsia="標楷體" w:cs="新細明體"/>
          <w:sz w:val="28"/>
          <w:szCs w:val="28"/>
        </w:rPr>
      </w:pPr>
      <w:r>
        <w:rPr>
          <w:rFonts w:ascii="標楷體" w:hAnsi="標楷體" w:cs="新細明體" w:eastAsia="標楷體"/>
          <w:sz w:val="28"/>
          <w:szCs w:val="28"/>
        </w:rPr>
        <w:t>使用者查詢</w:t>
      </w:r>
      <w:r>
        <w:rPr>
          <w:rFonts w:ascii="標楷體" w:hAnsi="標楷體" w:eastAsia="標楷體"/>
          <w:sz w:val="28"/>
          <w:szCs w:val="28"/>
        </w:rPr>
        <w:t>勞保局資料</w:t>
      </w:r>
      <w:r>
        <w:rPr>
          <w:rFonts w:ascii="標楷體" w:hAnsi="標楷體" w:cs="新細明體" w:eastAsia="標楷體"/>
          <w:sz w:val="28"/>
          <w:szCs w:val="28"/>
        </w:rPr>
        <w:t>時，應先填寫查調紀錄陳核表</w:t>
      </w:r>
      <w:r>
        <w:rPr>
          <w:rFonts w:eastAsia="標楷體" w:cs="新細明體" w:ascii="標楷體" w:hAnsi="標楷體"/>
          <w:sz w:val="28"/>
          <w:szCs w:val="28"/>
        </w:rPr>
        <w:t>(</w:t>
      </w:r>
      <w:r>
        <w:rPr>
          <w:rFonts w:ascii="標楷體" w:hAnsi="標楷體" w:cs="新細明體" w:eastAsia="標楷體"/>
          <w:sz w:val="28"/>
          <w:szCs w:val="28"/>
        </w:rPr>
        <w:t>附表三</w:t>
      </w:r>
      <w:r>
        <w:rPr>
          <w:rFonts w:eastAsia="標楷體" w:cs="新細明體" w:ascii="標楷體" w:hAnsi="標楷體"/>
          <w:sz w:val="28"/>
          <w:szCs w:val="28"/>
        </w:rPr>
        <w:t>)</w:t>
      </w:r>
      <w:r>
        <w:rPr>
          <w:rFonts w:ascii="標楷體" w:hAnsi="標楷體" w:cs="新細明體" w:eastAsia="標楷體"/>
          <w:sz w:val="28"/>
          <w:szCs w:val="28"/>
        </w:rPr>
        <w:t>，經所屬主管核可後始得查詢，並保留五年作為日後查核依據。</w:t>
      </w:r>
    </w:p>
    <w:p>
      <w:pPr>
        <w:pStyle w:val="ListParagraph"/>
        <w:numPr>
          <w:ilvl w:val="0"/>
          <w:numId w:val="4"/>
        </w:numPr>
        <w:spacing w:lineRule="exact" w:line="500"/>
        <w:ind w:left="1134" w:hanging="567"/>
        <w:jc w:val="both"/>
        <w:rPr>
          <w:rFonts w:ascii="標楷體" w:hAnsi="標楷體" w:eastAsia="標楷體" w:cs="新細明體"/>
          <w:sz w:val="28"/>
          <w:szCs w:val="28"/>
        </w:rPr>
      </w:pPr>
      <w:r>
        <w:rPr>
          <w:rFonts w:ascii="標楷體" w:hAnsi="標楷體" w:cs="新細明體" w:eastAsia="標楷體"/>
          <w:sz w:val="28"/>
          <w:szCs w:val="28"/>
        </w:rPr>
        <w:t>使用者對經授權取得之</w:t>
      </w:r>
      <w:r>
        <w:rPr>
          <w:rFonts w:ascii="標楷體" w:hAnsi="標楷體" w:eastAsia="標楷體"/>
          <w:sz w:val="28"/>
          <w:szCs w:val="28"/>
        </w:rPr>
        <w:t>勞保局資料</w:t>
      </w:r>
      <w:r>
        <w:rPr>
          <w:rFonts w:ascii="標楷體" w:hAnsi="標楷體" w:cs="新細明體" w:eastAsia="標楷體"/>
          <w:sz w:val="28"/>
          <w:szCs w:val="28"/>
        </w:rPr>
        <w:t>負有保密責任，僅供原申請目的使用，不得任意複印或複製，並應防止</w:t>
      </w:r>
      <w:r>
        <w:rPr>
          <w:rFonts w:ascii="標楷體" w:hAnsi="標楷體" w:eastAsia="標楷體"/>
          <w:sz w:val="28"/>
          <w:szCs w:val="28"/>
        </w:rPr>
        <w:t>勞保局資料</w:t>
      </w:r>
      <w:r>
        <w:rPr>
          <w:rFonts w:ascii="標楷體" w:hAnsi="標楷體" w:cs="新細明體" w:eastAsia="標楷體"/>
          <w:sz w:val="28"/>
          <w:szCs w:val="28"/>
        </w:rPr>
        <w:t>外洩；其所屬主管應負監督之責。</w:t>
      </w:r>
    </w:p>
    <w:p>
      <w:pPr>
        <w:pStyle w:val="ListParagraph"/>
        <w:numPr>
          <w:ilvl w:val="0"/>
          <w:numId w:val="4"/>
        </w:numPr>
        <w:spacing w:lineRule="exact" w:line="500"/>
        <w:ind w:left="1134" w:hanging="567"/>
        <w:jc w:val="both"/>
        <w:rPr>
          <w:rFonts w:ascii="標楷體" w:hAnsi="標楷體" w:eastAsia="標楷體" w:cs="新細明體"/>
          <w:sz w:val="28"/>
          <w:szCs w:val="28"/>
        </w:rPr>
      </w:pPr>
      <w:r>
        <w:rPr>
          <w:rFonts w:ascii="標楷體" w:hAnsi="標楷體" w:cs="新細明體" w:eastAsia="標楷體"/>
          <w:sz w:val="28"/>
          <w:szCs w:val="28"/>
        </w:rPr>
        <w:t>於查詢作業完畢或暫時離開座位時，應即關閉系統或鎖定電腦，防止他人未經授權使用電腦取得</w:t>
      </w:r>
      <w:r>
        <w:rPr>
          <w:rFonts w:ascii="標楷體" w:hAnsi="標楷體" w:eastAsia="標楷體"/>
          <w:sz w:val="28"/>
          <w:szCs w:val="28"/>
        </w:rPr>
        <w:t>勞保局</w:t>
      </w:r>
      <w:r>
        <w:rPr>
          <w:rFonts w:ascii="標楷體" w:hAnsi="標楷體" w:cs="新細明體" w:eastAsia="標楷體"/>
          <w:sz w:val="28"/>
          <w:szCs w:val="28"/>
        </w:rPr>
        <w:t>資料。</w:t>
      </w:r>
    </w:p>
    <w:p>
      <w:pPr>
        <w:pStyle w:val="ListParagraph"/>
        <w:numPr>
          <w:ilvl w:val="0"/>
          <w:numId w:val="4"/>
        </w:numPr>
        <w:spacing w:lineRule="exact" w:line="500"/>
        <w:ind w:left="1134" w:hanging="567"/>
        <w:jc w:val="both"/>
        <w:rPr>
          <w:rFonts w:ascii="標楷體" w:hAnsi="標楷體" w:eastAsia="標楷體" w:cs="新細明體"/>
          <w:sz w:val="28"/>
          <w:szCs w:val="28"/>
        </w:rPr>
      </w:pPr>
      <w:r>
        <w:rPr>
          <w:rFonts w:ascii="標楷體" w:hAnsi="標楷體" w:cs="新細明體" w:eastAsia="標楷體"/>
          <w:sz w:val="28"/>
          <w:szCs w:val="28"/>
        </w:rPr>
        <w:t>查詢之</w:t>
      </w:r>
      <w:r>
        <w:rPr>
          <w:rFonts w:ascii="標楷體" w:hAnsi="標楷體" w:eastAsia="標楷體"/>
          <w:sz w:val="28"/>
          <w:szCs w:val="28"/>
        </w:rPr>
        <w:t>勞保局資料</w:t>
      </w:r>
      <w:r>
        <w:rPr>
          <w:rFonts w:ascii="標楷體" w:hAnsi="標楷體" w:cs="新細明體" w:eastAsia="標楷體"/>
          <w:sz w:val="28"/>
          <w:szCs w:val="28"/>
        </w:rPr>
        <w:t>應避免非業務權責人員閱覽、擷取及破壞，並不得以電話、網路及傳真等方式傳輸</w:t>
      </w:r>
      <w:r>
        <w:rPr>
          <w:rFonts w:ascii="標楷體" w:hAnsi="標楷體" w:eastAsia="標楷體"/>
          <w:sz w:val="28"/>
          <w:szCs w:val="28"/>
        </w:rPr>
        <w:t>勞保局資料</w:t>
      </w:r>
      <w:r>
        <w:rPr>
          <w:rFonts w:ascii="標楷體" w:hAnsi="標楷體" w:cs="新細明體" w:eastAsia="標楷體"/>
          <w:sz w:val="28"/>
          <w:szCs w:val="28"/>
        </w:rPr>
        <w:t>於非業務相關人員，有關</w:t>
      </w:r>
      <w:r>
        <w:rPr>
          <w:rFonts w:ascii="標楷體" w:hAnsi="標楷體" w:eastAsia="標楷體"/>
          <w:sz w:val="28"/>
          <w:szCs w:val="28"/>
        </w:rPr>
        <w:t>勞保局資料</w:t>
      </w:r>
      <w:r>
        <w:rPr>
          <w:rFonts w:ascii="標楷體" w:hAnsi="標楷體" w:cs="新細明體" w:eastAsia="標楷體"/>
          <w:sz w:val="28"/>
          <w:szCs w:val="28"/>
        </w:rPr>
        <w:t>之傳送與處理須採行適當之保護措施，如涉及個人資料之識別應加密保護。</w:t>
      </w:r>
    </w:p>
    <w:p>
      <w:pPr>
        <w:pStyle w:val="ListParagraph"/>
        <w:numPr>
          <w:ilvl w:val="0"/>
          <w:numId w:val="4"/>
        </w:numPr>
        <w:spacing w:lineRule="exact" w:line="500"/>
        <w:ind w:left="1134" w:hanging="567"/>
        <w:jc w:val="both"/>
        <w:rPr>
          <w:rFonts w:ascii="標楷體" w:hAnsi="標楷體" w:eastAsia="標楷體" w:cs="新細明體"/>
          <w:sz w:val="28"/>
          <w:szCs w:val="28"/>
        </w:rPr>
      </w:pPr>
      <w:r>
        <w:rPr>
          <w:rFonts w:ascii="標楷體" w:hAnsi="標楷體" w:cs="新細明體" w:eastAsia="標楷體"/>
          <w:sz w:val="28"/>
          <w:szCs w:val="28"/>
        </w:rPr>
        <w:t>查詢</w:t>
      </w:r>
      <w:r>
        <w:rPr>
          <w:rFonts w:ascii="標楷體" w:hAnsi="標楷體" w:eastAsia="標楷體"/>
          <w:sz w:val="28"/>
          <w:szCs w:val="28"/>
        </w:rPr>
        <w:t>勞保局資料</w:t>
      </w:r>
      <w:r>
        <w:rPr>
          <w:rFonts w:ascii="標楷體" w:hAnsi="標楷體" w:cs="新細明體" w:eastAsia="標楷體"/>
          <w:sz w:val="28"/>
          <w:szCs w:val="28"/>
        </w:rPr>
        <w:t>完竣後，如有併案或附卷必要，應妥善保管。紙本應以密件方式保存；電子檔應有存取權限控管。</w:t>
      </w:r>
    </w:p>
    <w:p>
      <w:pPr>
        <w:pStyle w:val="Normal"/>
        <w:spacing w:lineRule="exact" w:line="500"/>
        <w:ind w:left="567" w:hanging="0"/>
        <w:jc w:val="both"/>
        <w:rPr>
          <w:rFonts w:ascii="標楷體" w:hAnsi="標楷體" w:eastAsia="標楷體"/>
          <w:sz w:val="28"/>
          <w:szCs w:val="28"/>
        </w:rPr>
      </w:pPr>
      <w:r>
        <w:rPr>
          <w:rFonts w:ascii="標楷體" w:hAnsi="標楷體" w:eastAsia="標楷體"/>
          <w:sz w:val="28"/>
          <w:szCs w:val="28"/>
        </w:rPr>
        <w:t>取得勞保局資料檔，使用者應自行定期清除，以防範勞保局資料被不當存取。查詢勞保局資料完竣後，如可銷毀，紙本文件應銷毀至無法辨識；電子檔如無保留必要性，應即刪除。</w:t>
      </w:r>
    </w:p>
    <w:p>
      <w:pPr>
        <w:pStyle w:val="Normal"/>
        <w:spacing w:lineRule="exact" w:line="500"/>
        <w:ind w:left="567" w:hanging="0"/>
        <w:jc w:val="both"/>
        <w:rPr>
          <w:rFonts w:ascii="標楷體" w:hAnsi="標楷體" w:eastAsia="標楷體"/>
          <w:sz w:val="28"/>
          <w:szCs w:val="28"/>
        </w:rPr>
      </w:pPr>
      <w:r>
        <w:rPr>
          <w:rFonts w:ascii="標楷體" w:hAnsi="標楷體" w:eastAsia="標楷體"/>
          <w:sz w:val="28"/>
          <w:szCs w:val="28"/>
        </w:rPr>
        <w:t>需求機關每年應檢視已申請核准之勞保局資訊連結作業之使用情形，如已無需求者，應函請勞保局資料提供機關終止該連結作業。</w:t>
      </w:r>
    </w:p>
    <w:p>
      <w:pPr>
        <w:pStyle w:val="ListParagraph"/>
        <w:numPr>
          <w:ilvl w:val="0"/>
          <w:numId w:val="1"/>
        </w:numPr>
        <w:spacing w:lineRule="exact" w:line="500"/>
        <w:ind w:left="567" w:right="31" w:hanging="567"/>
        <w:jc w:val="both"/>
        <w:rPr>
          <w:rFonts w:ascii="標楷體" w:hAnsi="標楷體" w:eastAsia="標楷體"/>
          <w:sz w:val="28"/>
          <w:szCs w:val="28"/>
        </w:rPr>
      </w:pPr>
      <w:r>
        <w:rPr>
          <w:rFonts w:ascii="標楷體" w:hAnsi="標楷體" w:eastAsia="標楷體"/>
          <w:sz w:val="28"/>
          <w:szCs w:val="28"/>
        </w:rPr>
        <w:t>需求機關應指定專人依下列規定自行辦理內部查核及稽核作業</w:t>
      </w:r>
      <w:r>
        <w:rPr>
          <w:rFonts w:eastAsia="標楷體" w:ascii="標楷體" w:hAnsi="標楷體"/>
          <w:sz w:val="28"/>
          <w:szCs w:val="28"/>
        </w:rPr>
        <w:t>(</w:t>
      </w:r>
      <w:r>
        <w:rPr>
          <w:rFonts w:ascii="標楷體" w:hAnsi="標楷體" w:eastAsia="標楷體"/>
          <w:sz w:val="28"/>
          <w:szCs w:val="28"/>
        </w:rPr>
        <w:t>含轄屬機關</w:t>
      </w:r>
      <w:r>
        <w:rPr>
          <w:rFonts w:eastAsia="標楷體" w:ascii="標楷體" w:hAnsi="標楷體"/>
          <w:sz w:val="28"/>
          <w:szCs w:val="28"/>
        </w:rPr>
        <w:t>)</w:t>
      </w:r>
      <w:r>
        <w:rPr>
          <w:rFonts w:ascii="標楷體" w:hAnsi="標楷體" w:eastAsia="標楷體"/>
          <w:sz w:val="28"/>
          <w:szCs w:val="28"/>
        </w:rPr>
        <w:t>：</w:t>
      </w:r>
    </w:p>
    <w:p>
      <w:pPr>
        <w:pStyle w:val="ListParagraph"/>
        <w:numPr>
          <w:ilvl w:val="0"/>
          <w:numId w:val="3"/>
        </w:numPr>
        <w:spacing w:lineRule="exact" w:line="500"/>
        <w:ind w:left="1134" w:hanging="567"/>
        <w:jc w:val="both"/>
        <w:rPr>
          <w:rFonts w:ascii="標楷體" w:hAnsi="標楷體" w:eastAsia="標楷體"/>
          <w:sz w:val="28"/>
          <w:szCs w:val="28"/>
        </w:rPr>
      </w:pPr>
      <w:r>
        <w:rPr>
          <w:rFonts w:ascii="標楷體" w:hAnsi="標楷體" w:eastAsia="標楷體"/>
          <w:sz w:val="28"/>
          <w:szCs w:val="28"/>
        </w:rPr>
        <w:t>每季檢視各單位使用人查詢紀錄與使用狀況，並彙整使用紀錄，提供業務主管抽查使用情形，每月抽查比率至少為百分之三，每月抽查筆數不得少於十筆，查詢總筆數少於十筆者，應全數查核。</w:t>
      </w:r>
    </w:p>
    <w:p>
      <w:pPr>
        <w:pStyle w:val="ListParagraph"/>
        <w:numPr>
          <w:ilvl w:val="0"/>
          <w:numId w:val="3"/>
        </w:numPr>
        <w:spacing w:lineRule="exact" w:line="500"/>
        <w:ind w:left="1134" w:hanging="567"/>
        <w:jc w:val="both"/>
        <w:rPr>
          <w:rFonts w:ascii="標楷體" w:hAnsi="標楷體" w:eastAsia="標楷體"/>
          <w:sz w:val="28"/>
          <w:szCs w:val="28"/>
        </w:rPr>
      </w:pPr>
      <w:r>
        <w:rPr>
          <w:rFonts w:ascii="標楷體" w:hAnsi="標楷體" w:eastAsia="標楷體"/>
          <w:sz w:val="28"/>
          <w:szCs w:val="28"/>
        </w:rPr>
        <w:t>前項查核結果，應保留三年備查，遇有查詢異常現象，由業務單位會同政風單位及資訊單位共同調查，並作成稽核紀錄。</w:t>
      </w:r>
    </w:p>
    <w:p>
      <w:pPr>
        <w:pStyle w:val="ListParagraph"/>
        <w:numPr>
          <w:ilvl w:val="0"/>
          <w:numId w:val="3"/>
        </w:numPr>
        <w:spacing w:lineRule="exact" w:line="500"/>
        <w:ind w:left="1134" w:hanging="567"/>
        <w:jc w:val="both"/>
        <w:rPr>
          <w:rFonts w:ascii="標楷體" w:hAnsi="標楷體" w:eastAsia="標楷體"/>
          <w:sz w:val="28"/>
          <w:szCs w:val="28"/>
        </w:rPr>
      </w:pPr>
      <w:r>
        <w:rPr>
          <w:rFonts w:ascii="標楷體" w:hAnsi="標楷體" w:eastAsia="標楷體"/>
          <w:sz w:val="28"/>
          <w:szCs w:val="28"/>
        </w:rPr>
        <w:t>機關及轄屬機關應每半年辦理內部稽核工作，機關並應每年辦理轄屬機關稽核工作，所有稽核工作均應作成稽核紀錄，保留三年備查。</w:t>
      </w:r>
    </w:p>
    <w:p>
      <w:pPr>
        <w:pStyle w:val="Normal"/>
        <w:spacing w:lineRule="exact" w:line="500"/>
        <w:ind w:left="567" w:hanging="0"/>
        <w:jc w:val="both"/>
        <w:rPr>
          <w:rFonts w:ascii="標楷體" w:hAnsi="標楷體" w:eastAsia="標楷體"/>
          <w:sz w:val="28"/>
          <w:szCs w:val="28"/>
        </w:rPr>
      </w:pPr>
      <w:r>
        <w:rPr>
          <w:rFonts w:ascii="標楷體" w:hAnsi="標楷體" w:eastAsia="標楷體"/>
          <w:sz w:val="28"/>
          <w:szCs w:val="28"/>
        </w:rPr>
        <w:t>本府主管機關得不定期配合抽查各機關勞保</w:t>
      </w:r>
      <w:r>
        <w:rPr>
          <w:rFonts w:eastAsia="標楷體" w:ascii="標楷體" w:hAnsi="標楷體"/>
          <w:sz w:val="28"/>
          <w:szCs w:val="28"/>
        </w:rPr>
        <w:t>WebIR</w:t>
      </w:r>
      <w:r>
        <w:rPr>
          <w:rFonts w:ascii="標楷體" w:hAnsi="標楷體" w:eastAsia="標楷體"/>
          <w:sz w:val="28"/>
          <w:szCs w:val="28"/>
        </w:rPr>
        <w:t>之使用情形，各機關應派員配合稽查作業，經查有異常查詢情形時，</w:t>
      </w:r>
      <w:r>
        <w:rPr>
          <w:rFonts w:ascii="標楷體" w:hAnsi="標楷體" w:eastAsia="標楷體"/>
          <w:sz w:val="28"/>
        </w:rPr>
        <w:t>將送請該機關查處</w:t>
      </w:r>
      <w:r>
        <w:rPr>
          <w:rFonts w:ascii="標楷體" w:hAnsi="標楷體" w:eastAsia="標楷體"/>
          <w:sz w:val="28"/>
          <w:szCs w:val="28"/>
        </w:rPr>
        <w:t>。</w:t>
      </w:r>
    </w:p>
    <w:p>
      <w:pPr>
        <w:pStyle w:val="Normal"/>
        <w:spacing w:lineRule="exact" w:line="500"/>
        <w:ind w:left="567" w:hanging="0"/>
        <w:jc w:val="both"/>
        <w:rPr>
          <w:rFonts w:ascii="標楷體" w:hAnsi="標楷體" w:eastAsia="標楷體"/>
          <w:sz w:val="28"/>
          <w:szCs w:val="28"/>
        </w:rPr>
      </w:pPr>
      <w:r>
        <w:rPr>
          <w:rFonts w:ascii="標楷體" w:hAnsi="標楷體" w:eastAsia="標楷體"/>
          <w:sz w:val="28"/>
          <w:szCs w:val="28"/>
        </w:rPr>
        <w:t>勞動部勞工保險局實施稽核時，應備妥使用者清冊、稽核紀錄及提供相關稽核資料。</w:t>
      </w:r>
    </w:p>
    <w:p>
      <w:pPr>
        <w:pStyle w:val="ListParagraph"/>
        <w:numPr>
          <w:ilvl w:val="0"/>
          <w:numId w:val="1"/>
        </w:numPr>
        <w:spacing w:lineRule="exact" w:line="500"/>
        <w:ind w:left="567" w:right="31" w:hanging="567"/>
        <w:jc w:val="both"/>
        <w:rPr>
          <w:rFonts w:ascii="標楷體" w:hAnsi="標楷體" w:eastAsia="標楷體"/>
          <w:sz w:val="28"/>
          <w:szCs w:val="28"/>
        </w:rPr>
      </w:pPr>
      <w:r>
        <w:rPr>
          <w:rFonts w:ascii="標楷體" w:hAnsi="標楷體" w:eastAsia="標楷體"/>
          <w:sz w:val="28"/>
          <w:szCs w:val="28"/>
        </w:rPr>
        <w:t>各層級管理者應確實依本要點執行。執行績效良好者，得依臺中市政府及所屬各機關公務人員平時獎懲標準表規定辦理行政獎勵。</w:t>
      </w:r>
    </w:p>
    <w:p>
      <w:pPr>
        <w:pStyle w:val="ListParagraph"/>
        <w:numPr>
          <w:ilvl w:val="0"/>
          <w:numId w:val="1"/>
        </w:numPr>
        <w:spacing w:lineRule="exact" w:line="500"/>
        <w:ind w:left="567" w:right="31" w:hanging="567"/>
        <w:jc w:val="both"/>
        <w:rPr>
          <w:rFonts w:ascii="標楷體" w:hAnsi="標楷體" w:eastAsia="標楷體"/>
          <w:sz w:val="28"/>
          <w:szCs w:val="28"/>
        </w:rPr>
      </w:pPr>
      <w:r>
        <w:rPr>
          <w:rFonts w:ascii="標楷體" w:hAnsi="標楷體" w:eastAsia="標楷體"/>
          <w:sz w:val="28"/>
          <w:szCs w:val="28"/>
        </w:rPr>
        <w:t>機關管理者未善盡管理之責，致未經授權之使用者，或因職務調整、離職或退休等原因已無使用勞保局資料權限者使用勞保局資料，致當事人權益受損者，應由其所屬之主管機關議處。</w:t>
      </w:r>
    </w:p>
    <w:p>
      <w:pPr>
        <w:pStyle w:val="ListParagraph"/>
        <w:spacing w:lineRule="exact" w:line="500"/>
        <w:ind w:left="567" w:right="31" w:hanging="0"/>
        <w:jc w:val="both"/>
        <w:rPr/>
      </w:pPr>
      <w:r>
        <w:rPr>
          <w:rFonts w:ascii="標楷體" w:hAnsi="標楷體" w:eastAsia="標楷體"/>
          <w:sz w:val="28"/>
          <w:szCs w:val="28"/>
        </w:rPr>
        <w:t>使用單位或使用者有違法或不當使用勞保局資料者，依個人資料保護法或其他相關法律之規定負其責任。</w:t>
      </w:r>
    </w:p>
    <w:sectPr>
      <w:type w:val="nextPage"/>
      <w:pgSz w:w="11906" w:h="16838"/>
      <w:pgMar w:left="1418" w:right="1418" w:header="0" w:top="1134" w:footer="0" w:bottom="1134" w:gutter="0"/>
      <w:pgNumType w:fmt="decimal"/>
      <w:formProt w:val="false"/>
      <w:textDirection w:val="lrTb"/>
      <w:docGrid w:type="lines"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roman"/>
    <w:pitch w:val="variable"/>
  </w:font>
  <w:font w:name="Cambria">
    <w:charset w:val="88"/>
    <w:family w:val="roman"/>
    <w:pitch w:val="variable"/>
  </w:font>
  <w:font w:name="標楷體">
    <w:charset w:val="88"/>
    <w:family w:val="roman"/>
    <w:pitch w:val="variable"/>
  </w:font>
  <w:font w:name="Liberation Sans">
    <w:altName w:val="Arial"/>
    <w:charset w:val="88"/>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left"/>
      <w:pPr>
        <w:ind w:left="420" w:hanging="420"/>
      </w:pPr>
      <w:rPr>
        <w:sz w:val="28"/>
        <w:rFonts w:ascii="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lvl w:ilvl="0">
      <w:start w:val="1"/>
      <w:numFmt w:val="taiwaneseCountingThousand"/>
      <w:lvlText w:val="(%1)"/>
      <w:lvlJc w:val="left"/>
      <w:pPr>
        <w:ind w:left="5137"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lvl w:ilvl="0">
      <w:start w:val="1"/>
      <w:numFmt w:val="taiwaneseCountingThousand"/>
      <w:lvlText w:val="(%1)"/>
      <w:lvlJc w:val="left"/>
      <w:pPr>
        <w:ind w:left="5279"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TW"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 w:asciiTheme="minorHAnsi" w:cstheme="minorBidi" w:eastAsiaTheme="minorEastAsia" w:hAnsiTheme="minorHAnsi"/>
        <w:sz w:val="24"/>
        <w:szCs w:val="22"/>
        <w:lang w:val="en-US" w:eastAsia="zh-TW"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bidi w:val="0"/>
      <w:jc w:val="left"/>
    </w:pPr>
    <w:rPr>
      <w:rFonts w:ascii="Calibri" w:hAnsi="Calibri" w:eastAsia="新細明體" w:cs="" w:asciiTheme="minorHAnsi" w:cstheme="minorBidi" w:eastAsiaTheme="minorEastAsia" w:hAnsiTheme="minorHAnsi"/>
      <w:color w:val="auto"/>
      <w:sz w:val="24"/>
      <w:szCs w:val="22"/>
      <w:lang w:val="en-US" w:eastAsia="zh-TW" w:bidi="ar-SA"/>
    </w:rPr>
  </w:style>
  <w:style w:type="character" w:styleId="DefaultParagraphFont" w:default="1">
    <w:name w:val="Default Paragraph Font"/>
    <w:uiPriority w:val="1"/>
    <w:semiHidden/>
    <w:unhideWhenUsed/>
    <w:qFormat/>
    <w:rPr/>
  </w:style>
  <w:style w:type="character" w:styleId="Style14" w:customStyle="1">
    <w:name w:val="頁首 字元"/>
    <w:basedOn w:val="DefaultParagraphFont"/>
    <w:link w:val="a4"/>
    <w:uiPriority w:val="99"/>
    <w:qFormat/>
    <w:rsid w:val="00851558"/>
    <w:rPr>
      <w:sz w:val="20"/>
      <w:szCs w:val="20"/>
    </w:rPr>
  </w:style>
  <w:style w:type="character" w:styleId="Style15" w:customStyle="1">
    <w:name w:val="頁尾 字元"/>
    <w:basedOn w:val="DefaultParagraphFont"/>
    <w:link w:val="a6"/>
    <w:uiPriority w:val="99"/>
    <w:qFormat/>
    <w:rsid w:val="00851558"/>
    <w:rPr>
      <w:sz w:val="20"/>
      <w:szCs w:val="20"/>
    </w:rPr>
  </w:style>
  <w:style w:type="character" w:styleId="Style16" w:customStyle="1">
    <w:name w:val="註解方塊文字 字元"/>
    <w:basedOn w:val="DefaultParagraphFont"/>
    <w:link w:val="a9"/>
    <w:uiPriority w:val="99"/>
    <w:semiHidden/>
    <w:qFormat/>
    <w:rsid w:val="007d0587"/>
    <w:rPr>
      <w:rFonts w:ascii="Cambria" w:hAnsi="Cambria" w:eastAsia="新細明體" w:cs="" w:asciiTheme="majorHAnsi" w:cstheme="majorBidi" w:eastAsiaTheme="majorEastAsia" w:hAnsiTheme="majorHAnsi"/>
      <w:sz w:val="18"/>
      <w:szCs w:val="18"/>
    </w:rPr>
  </w:style>
  <w:style w:type="character" w:styleId="ListLabel1">
    <w:name w:val="ListLabel 1"/>
    <w:qFormat/>
    <w:rPr>
      <w:rFonts w:ascii="標楷體" w:hAnsi="標楷體"/>
      <w:sz w:val="28"/>
    </w:rPr>
  </w:style>
  <w:style w:type="character" w:styleId="ListLabel2">
    <w:name w:val="ListLabel 2"/>
    <w:qFormat/>
    <w:rPr>
      <w:color w:val="000000"/>
    </w:rPr>
  </w:style>
  <w:style w:type="paragraph" w:styleId="Style17">
    <w:name w:val="標題"/>
    <w:basedOn w:val="Normal"/>
    <w:next w:val="Style18"/>
    <w:qFormat/>
    <w:pPr>
      <w:keepNext/>
      <w:spacing w:before="240" w:after="120"/>
    </w:pPr>
    <w:rPr>
      <w:rFonts w:ascii="Liberation Sans" w:hAnsi="Liberation Sans" w:eastAsia="微軟正黑體" w:cs="Mang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索引"/>
    <w:basedOn w:val="Normal"/>
    <w:qFormat/>
    <w:pPr>
      <w:suppressLineNumbers/>
    </w:pPr>
    <w:rPr>
      <w:rFonts w:cs="Mangal"/>
    </w:rPr>
  </w:style>
  <w:style w:type="paragraph" w:styleId="ListParagraph">
    <w:name w:val="List Paragraph"/>
    <w:basedOn w:val="Normal"/>
    <w:uiPriority w:val="34"/>
    <w:qFormat/>
    <w:rsid w:val="00fa3e7e"/>
    <w:pPr>
      <w:ind w:left="480" w:hanging="0"/>
    </w:pPr>
    <w:rPr/>
  </w:style>
  <w:style w:type="paragraph" w:styleId="Style22">
    <w:name w:val="Header"/>
    <w:basedOn w:val="Normal"/>
    <w:link w:val="a5"/>
    <w:uiPriority w:val="99"/>
    <w:unhideWhenUsed/>
    <w:rsid w:val="00851558"/>
    <w:pPr>
      <w:tabs>
        <w:tab w:val="center" w:pos="4153" w:leader="none"/>
        <w:tab w:val="right" w:pos="8306" w:leader="none"/>
      </w:tabs>
      <w:snapToGrid w:val="false"/>
    </w:pPr>
    <w:rPr>
      <w:sz w:val="20"/>
      <w:szCs w:val="20"/>
    </w:rPr>
  </w:style>
  <w:style w:type="paragraph" w:styleId="Style23">
    <w:name w:val="Footer"/>
    <w:basedOn w:val="Normal"/>
    <w:link w:val="a7"/>
    <w:uiPriority w:val="99"/>
    <w:unhideWhenUsed/>
    <w:rsid w:val="00851558"/>
    <w:pPr>
      <w:tabs>
        <w:tab w:val="center" w:pos="4153" w:leader="none"/>
        <w:tab w:val="right" w:pos="8306" w:leader="none"/>
      </w:tabs>
      <w:snapToGrid w:val="false"/>
    </w:pPr>
    <w:rPr>
      <w:sz w:val="20"/>
      <w:szCs w:val="20"/>
    </w:rPr>
  </w:style>
  <w:style w:type="paragraph" w:styleId="BalloonText">
    <w:name w:val="Balloon Text"/>
    <w:basedOn w:val="Normal"/>
    <w:link w:val="aa"/>
    <w:uiPriority w:val="99"/>
    <w:semiHidden/>
    <w:unhideWhenUsed/>
    <w:qFormat/>
    <w:rsid w:val="007d0587"/>
    <w:pPr/>
    <w:rPr>
      <w:rFonts w:ascii="Cambria" w:hAnsi="Cambria" w:eastAsia="新細明體" w:cs="" w:asciiTheme="majorHAnsi" w:cstheme="majorBidi" w:eastAsiaTheme="majorEastAsia" w:hAnsiTheme="majorHAns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8">
    <w:name w:val="Table Grid"/>
    <w:basedOn w:val="a1"/>
    <w:uiPriority w:val="59"/>
    <w:rsid w:val="00816aa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2089</TotalTime>
  <Application>LibreOffice/5.1.4.2$Windows_x86 LibreOffice_project/f99d75f39f1c57ebdd7ffc5f42867c12031db97a</Application>
  <Pages>6</Pages>
  <Words>2742</Words>
  <Characters>2794</Characters>
  <CharactersWithSpaces>2794</CharactersWithSpaces>
  <Paragraphs>47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2016-04-08T06:02:00Z</dcterms:created>
  <dc:creator>tccg</dc:creator>
  <dc:description/>
  <dc:language>zh-TW</dc:language>
  <cp:lastModifiedBy/>
  <cp:lastPrinted>2016-04-15T02:21:00Z</cp:lastPrinted>
  <dcterms:modified xsi:type="dcterms:W3CDTF">2016-08-09T08:39:15Z</dcterms:modified>
  <cp:revision>151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