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C0F" w:rsidRPr="00EC3A1A" w:rsidRDefault="004A33D7" w:rsidP="00EC3A1A">
      <w:pPr>
        <w:jc w:val="both"/>
        <w:rPr>
          <w:rFonts w:ascii="標楷體" w:eastAsia="標楷體" w:hAnsi="標楷體" w:cs="Times New Roman"/>
          <w:b/>
          <w:sz w:val="40"/>
          <w:szCs w:val="40"/>
        </w:rPr>
      </w:pPr>
      <w:bookmarkStart w:id="0" w:name="_GoBack"/>
      <w:bookmarkEnd w:id="0"/>
      <w:r w:rsidRPr="00A30E27">
        <w:rPr>
          <w:rFonts w:ascii="Times New Roman" w:eastAsia="標楷體" w:hAnsi="Times New Roman" w:cs="Times New Roman" w:hint="eastAsia"/>
          <w:b/>
          <w:sz w:val="40"/>
          <w:szCs w:val="40"/>
        </w:rPr>
        <w:t>臺中市公有</w:t>
      </w:r>
      <w:r w:rsidRPr="00061A37">
        <w:rPr>
          <w:rFonts w:ascii="標楷體" w:eastAsia="標楷體" w:hAnsi="標楷體" w:cs="Times New Roman" w:hint="eastAsia"/>
          <w:b/>
          <w:sz w:val="40"/>
          <w:szCs w:val="40"/>
        </w:rPr>
        <w:t>零售</w:t>
      </w:r>
      <w:r w:rsidRPr="00A30E27">
        <w:rPr>
          <w:rFonts w:ascii="Times New Roman" w:eastAsia="標楷體" w:hAnsi="Times New Roman" w:cs="Times New Roman" w:hint="eastAsia"/>
          <w:b/>
          <w:sz w:val="40"/>
          <w:szCs w:val="40"/>
        </w:rPr>
        <w:t>市場出租及委託經營管理辦法</w:t>
      </w:r>
      <w:r w:rsidR="00E34389" w:rsidRPr="00A30E27">
        <w:rPr>
          <w:rFonts w:ascii="Times New Roman" w:eastAsia="標楷體" w:hAnsi="Times New Roman" w:cs="Times New Roman" w:hint="eastAsia"/>
          <w:b/>
          <w:sz w:val="40"/>
          <w:szCs w:val="40"/>
        </w:rPr>
        <w:t>第七條</w:t>
      </w:r>
      <w:r w:rsidR="00E82CF2" w:rsidRPr="00A30E27">
        <w:rPr>
          <w:rFonts w:ascii="標楷體" w:eastAsia="標楷體" w:hAnsi="標楷體" w:cs="Times New Roman" w:hint="eastAsia"/>
          <w:b/>
          <w:sz w:val="40"/>
          <w:szCs w:val="40"/>
        </w:rPr>
        <w:t>修正</w:t>
      </w:r>
      <w:r w:rsidR="000E6E28">
        <w:rPr>
          <w:rFonts w:ascii="標楷體" w:eastAsia="標楷體" w:hAnsi="標楷體" w:cs="Times New Roman" w:hint="eastAsia"/>
          <w:b/>
          <w:sz w:val="40"/>
          <w:szCs w:val="40"/>
        </w:rPr>
        <w:t>草案</w:t>
      </w:r>
      <w:r w:rsidR="00B5458C" w:rsidRPr="00A30E27">
        <w:rPr>
          <w:rFonts w:ascii="標楷體" w:eastAsia="標楷體" w:hAnsi="標楷體" w:cs="Times New Roman" w:hint="eastAsia"/>
          <w:b/>
          <w:sz w:val="40"/>
          <w:szCs w:val="40"/>
        </w:rPr>
        <w:t>條文</w:t>
      </w:r>
      <w:r w:rsidR="00E82CF2" w:rsidRPr="00A30E27">
        <w:rPr>
          <w:rFonts w:ascii="標楷體" w:eastAsia="標楷體" w:hAnsi="標楷體" w:cs="Times New Roman" w:hint="eastAsia"/>
          <w:b/>
          <w:sz w:val="40"/>
          <w:szCs w:val="40"/>
        </w:rPr>
        <w:t>對照表</w:t>
      </w:r>
    </w:p>
    <w:tbl>
      <w:tblPr>
        <w:tblW w:w="907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24"/>
        <w:gridCol w:w="3024"/>
        <w:gridCol w:w="3025"/>
      </w:tblGrid>
      <w:tr w:rsidR="00E82CF2" w:rsidRPr="00B5458C" w:rsidTr="003B185B">
        <w:trPr>
          <w:trHeight w:val="20"/>
        </w:trPr>
        <w:tc>
          <w:tcPr>
            <w:tcW w:w="3024" w:type="dxa"/>
          </w:tcPr>
          <w:p w:rsidR="00E82CF2" w:rsidRPr="00B5458C" w:rsidRDefault="00E82CF2" w:rsidP="00B5458C">
            <w:pPr>
              <w:ind w:left="960" w:hangingChars="400" w:hanging="960"/>
              <w:jc w:val="center"/>
              <w:rPr>
                <w:rFonts w:ascii="標楷體" w:eastAsia="標楷體" w:hAnsi="標楷體" w:cs="Times New Roman"/>
                <w:color w:val="000000"/>
                <w:szCs w:val="24"/>
              </w:rPr>
            </w:pPr>
            <w:r w:rsidRPr="00B5458C">
              <w:rPr>
                <w:rFonts w:ascii="標楷體" w:eastAsia="標楷體" w:hAnsi="標楷體" w:cs="Times New Roman" w:hint="eastAsia"/>
                <w:color w:val="000000"/>
                <w:szCs w:val="24"/>
              </w:rPr>
              <w:t>修正條文</w:t>
            </w:r>
          </w:p>
        </w:tc>
        <w:tc>
          <w:tcPr>
            <w:tcW w:w="3024" w:type="dxa"/>
            <w:tcBorders>
              <w:bottom w:val="single" w:sz="4" w:space="0" w:color="auto"/>
            </w:tcBorders>
          </w:tcPr>
          <w:p w:rsidR="00E82CF2" w:rsidRPr="00B5458C" w:rsidRDefault="00E82CF2" w:rsidP="00B5458C">
            <w:pPr>
              <w:ind w:left="960" w:hangingChars="400" w:hanging="960"/>
              <w:jc w:val="center"/>
              <w:rPr>
                <w:rFonts w:ascii="標楷體" w:eastAsia="標楷體" w:hAnsi="標楷體" w:cs="Times New Roman"/>
                <w:color w:val="000000"/>
                <w:szCs w:val="24"/>
              </w:rPr>
            </w:pPr>
            <w:r w:rsidRPr="00B5458C">
              <w:rPr>
                <w:rFonts w:ascii="標楷體" w:eastAsia="標楷體" w:hAnsi="標楷體" w:cs="Times New Roman" w:hint="eastAsia"/>
                <w:color w:val="000000"/>
                <w:szCs w:val="24"/>
              </w:rPr>
              <w:t>現行條文</w:t>
            </w:r>
          </w:p>
        </w:tc>
        <w:tc>
          <w:tcPr>
            <w:tcW w:w="3025" w:type="dxa"/>
          </w:tcPr>
          <w:p w:rsidR="00E82CF2" w:rsidRPr="00B5458C" w:rsidRDefault="00E82CF2" w:rsidP="00BF57E0">
            <w:pPr>
              <w:jc w:val="center"/>
              <w:rPr>
                <w:rFonts w:ascii="標楷體" w:eastAsia="標楷體" w:hAnsi="標楷體" w:cs="Times New Roman"/>
                <w:color w:val="000000"/>
                <w:szCs w:val="24"/>
              </w:rPr>
            </w:pPr>
            <w:r w:rsidRPr="00B5458C">
              <w:rPr>
                <w:rFonts w:ascii="標楷體" w:eastAsia="標楷體" w:hAnsi="標楷體" w:cs="Times New Roman" w:hint="eastAsia"/>
                <w:color w:val="000000"/>
                <w:szCs w:val="24"/>
              </w:rPr>
              <w:t>說明</w:t>
            </w:r>
          </w:p>
        </w:tc>
      </w:tr>
      <w:tr w:rsidR="00591A43" w:rsidRPr="004A33D7" w:rsidTr="003B185B">
        <w:trPr>
          <w:trHeight w:val="20"/>
        </w:trPr>
        <w:tc>
          <w:tcPr>
            <w:tcW w:w="3024" w:type="dxa"/>
          </w:tcPr>
          <w:p w:rsidR="00591A43" w:rsidRPr="00012219" w:rsidRDefault="00591A43" w:rsidP="007717F7">
            <w:pPr>
              <w:ind w:left="221" w:hangingChars="92" w:hanging="221"/>
              <w:rPr>
                <w:rFonts w:ascii="標楷體" w:eastAsia="標楷體" w:hAnsi="標楷體" w:cs="Times New Roman"/>
                <w:szCs w:val="24"/>
              </w:rPr>
            </w:pPr>
            <w:r w:rsidRPr="00012219">
              <w:rPr>
                <w:rFonts w:ascii="標楷體" w:eastAsia="標楷體" w:hAnsi="標楷體" w:cs="Times New Roman" w:hint="eastAsia"/>
                <w:szCs w:val="24"/>
              </w:rPr>
              <w:t xml:space="preserve">第七條　</w:t>
            </w:r>
            <w:r w:rsidR="007717F7" w:rsidRPr="007717F7">
              <w:rPr>
                <w:rFonts w:ascii="標楷體" w:eastAsia="標楷體" w:hAnsi="標楷體" w:cs="Times New Roman" w:hint="eastAsia"/>
                <w:szCs w:val="24"/>
              </w:rPr>
              <w:t>公有市場之租金不得低於</w:t>
            </w:r>
            <w:r w:rsidR="00BF5B22" w:rsidRPr="00BF5B22">
              <w:rPr>
                <w:rFonts w:ascii="標楷體" w:eastAsia="標楷體" w:hAnsi="標楷體" w:cs="Times New Roman" w:hint="eastAsia"/>
                <w:szCs w:val="24"/>
                <w:u w:val="single"/>
              </w:rPr>
              <w:t>當期土地申報地價總額年息百分之五及收租當期稅捐稽徵機關房屋課稅現值年息百分之十</w:t>
            </w:r>
            <w:r w:rsidR="00BF5B22" w:rsidRPr="00BF5B22">
              <w:rPr>
                <w:rFonts w:ascii="標楷體" w:eastAsia="標楷體" w:hAnsi="標楷體" w:cs="Times New Roman" w:hint="eastAsia"/>
                <w:szCs w:val="24"/>
              </w:rPr>
              <w:t>。</w:t>
            </w:r>
            <w:r w:rsidR="007717F7" w:rsidRPr="007717F7">
              <w:rPr>
                <w:rFonts w:ascii="標楷體" w:eastAsia="標楷體" w:hAnsi="標楷體" w:cs="Times New Roman" w:hint="eastAsia"/>
                <w:szCs w:val="24"/>
              </w:rPr>
              <w:t>但公有市場經招標二次仍未決標者，得按原定底價減價一成，再次辦理招標</w:t>
            </w:r>
            <w:r w:rsidRPr="00012219">
              <w:rPr>
                <w:rFonts w:ascii="標楷體" w:eastAsia="標楷體" w:hAnsi="標楷體" w:cs="Times New Roman" w:hint="eastAsia"/>
                <w:szCs w:val="24"/>
              </w:rPr>
              <w:t>。</w:t>
            </w:r>
          </w:p>
          <w:p w:rsidR="00591A43" w:rsidRDefault="007717F7" w:rsidP="00F407ED">
            <w:pPr>
              <w:ind w:leftChars="92" w:left="221" w:firstLineChars="193" w:firstLine="463"/>
              <w:rPr>
                <w:rFonts w:ascii="標楷體" w:eastAsia="標楷體" w:hAnsi="標楷體" w:cs="Times New Roman"/>
                <w:szCs w:val="24"/>
              </w:rPr>
            </w:pPr>
            <w:r w:rsidRPr="007717F7">
              <w:rPr>
                <w:rFonts w:ascii="標楷體" w:eastAsia="標楷體" w:hAnsi="標楷體" w:cs="Times New Roman" w:hint="eastAsia"/>
                <w:szCs w:val="24"/>
              </w:rPr>
              <w:t>依前項規定辦理招標仍未決標者，得由經發局另行估定租金底價再次辦理招標。另行估定之租金底價不得低於稅負及其他支出之總額。</w:t>
            </w:r>
          </w:p>
          <w:p w:rsidR="007938E6" w:rsidRDefault="006128F4" w:rsidP="007938E6">
            <w:pPr>
              <w:ind w:leftChars="92" w:left="221" w:firstLineChars="193" w:firstLine="463"/>
              <w:rPr>
                <w:rFonts w:ascii="標楷體" w:eastAsia="標楷體" w:hAnsi="標楷體" w:cs="Times New Roman"/>
                <w:szCs w:val="24"/>
                <w:u w:val="single"/>
              </w:rPr>
            </w:pPr>
            <w:r w:rsidRPr="006B3352">
              <w:rPr>
                <w:rFonts w:ascii="標楷體" w:eastAsia="標楷體" w:hAnsi="標楷體" w:cs="Times New Roman" w:hint="eastAsia"/>
                <w:szCs w:val="24"/>
                <w:u w:val="single"/>
              </w:rPr>
              <w:t>公有市場之租金</w:t>
            </w:r>
            <w:r w:rsidR="00672688">
              <w:rPr>
                <w:rFonts w:ascii="標楷體" w:eastAsia="標楷體" w:hAnsi="標楷體" w:cs="Times New Roman" w:hint="eastAsia"/>
                <w:szCs w:val="24"/>
                <w:u w:val="single"/>
              </w:rPr>
              <w:t>因土地申報</w:t>
            </w:r>
            <w:r w:rsidR="00AE03FA" w:rsidRPr="006B3352">
              <w:rPr>
                <w:rFonts w:ascii="標楷體" w:eastAsia="標楷體" w:hAnsi="標楷體" w:cs="Times New Roman" w:hint="eastAsia"/>
                <w:szCs w:val="24"/>
                <w:u w:val="single"/>
              </w:rPr>
              <w:t>地價</w:t>
            </w:r>
            <w:r w:rsidR="00672688">
              <w:rPr>
                <w:rFonts w:ascii="標楷體" w:eastAsia="標楷體" w:hAnsi="標楷體" w:cs="Times New Roman" w:hint="eastAsia"/>
                <w:szCs w:val="24"/>
                <w:u w:val="single"/>
              </w:rPr>
              <w:t>或房屋課稅現值</w:t>
            </w:r>
            <w:r w:rsidR="00AE03FA" w:rsidRPr="006B3352">
              <w:rPr>
                <w:rFonts w:ascii="標楷體" w:eastAsia="標楷體" w:hAnsi="標楷體" w:cs="Times New Roman" w:hint="eastAsia"/>
                <w:szCs w:val="24"/>
                <w:u w:val="single"/>
              </w:rPr>
              <w:t>有調整時，計算其租金</w:t>
            </w:r>
            <w:r w:rsidR="00083879" w:rsidRPr="006B3352">
              <w:rPr>
                <w:rFonts w:ascii="標楷體" w:eastAsia="標楷體" w:hAnsi="標楷體" w:cs="Times New Roman" w:hint="eastAsia"/>
                <w:szCs w:val="24"/>
                <w:u w:val="single"/>
              </w:rPr>
              <w:t>如高</w:t>
            </w:r>
            <w:r w:rsidR="00C44140">
              <w:rPr>
                <w:rFonts w:ascii="標楷體" w:eastAsia="標楷體" w:hAnsi="標楷體" w:cs="Times New Roman" w:hint="eastAsia"/>
                <w:szCs w:val="24"/>
                <w:u w:val="single"/>
              </w:rPr>
              <w:t>於前</w:t>
            </w:r>
            <w:r w:rsidR="00A720A7">
              <w:rPr>
                <w:rFonts w:ascii="標楷體" w:eastAsia="標楷體" w:hAnsi="標楷體" w:cs="Times New Roman" w:hint="eastAsia"/>
                <w:szCs w:val="24"/>
                <w:u w:val="single"/>
              </w:rPr>
              <w:t>一年度租金，</w:t>
            </w:r>
            <w:r w:rsidR="00083879" w:rsidRPr="00F407ED">
              <w:rPr>
                <w:rFonts w:ascii="標楷體" w:eastAsia="標楷體" w:hAnsi="標楷體" w:cs="Times New Roman" w:hint="eastAsia"/>
                <w:szCs w:val="24"/>
                <w:u w:val="single"/>
              </w:rPr>
              <w:t>調漲幅度以</w:t>
            </w:r>
            <w:r w:rsidR="003F439D">
              <w:rPr>
                <w:rFonts w:ascii="標楷體" w:eastAsia="標楷體" w:hAnsi="標楷體" w:cs="Times New Roman" w:hint="eastAsia"/>
                <w:szCs w:val="24"/>
                <w:u w:val="single"/>
              </w:rPr>
              <w:t>百分之十五</w:t>
            </w:r>
            <w:r w:rsidR="00083879" w:rsidRPr="00F407ED">
              <w:rPr>
                <w:rFonts w:ascii="標楷體" w:eastAsia="標楷體" w:hAnsi="標楷體" w:cs="Times New Roman" w:hint="eastAsia"/>
                <w:szCs w:val="24"/>
                <w:u w:val="single"/>
              </w:rPr>
              <w:t>為限</w:t>
            </w:r>
            <w:r w:rsidR="00C904B6">
              <w:rPr>
                <w:rFonts w:ascii="標楷體" w:eastAsia="標楷體" w:hAnsi="標楷體" w:cs="Times New Roman" w:hint="eastAsia"/>
                <w:szCs w:val="24"/>
                <w:u w:val="single"/>
              </w:rPr>
              <w:t>，</w:t>
            </w:r>
            <w:r w:rsidR="00A720A7">
              <w:rPr>
                <w:rFonts w:ascii="標楷體" w:eastAsia="標楷體" w:hAnsi="標楷體" w:cs="Times New Roman" w:hint="eastAsia"/>
                <w:szCs w:val="24"/>
                <w:u w:val="single"/>
              </w:rPr>
              <w:t>調整後金額不得低於</w:t>
            </w:r>
            <w:r w:rsidR="007938E6">
              <w:rPr>
                <w:rFonts w:ascii="標楷體" w:eastAsia="標楷體" w:hAnsi="標楷體" w:cs="Times New Roman" w:hint="eastAsia"/>
                <w:szCs w:val="24"/>
                <w:u w:val="single"/>
              </w:rPr>
              <w:t>契約租金</w:t>
            </w:r>
            <w:r w:rsidR="007938E6" w:rsidRPr="007938E6">
              <w:rPr>
                <w:rFonts w:ascii="標楷體" w:eastAsia="標楷體" w:hAnsi="標楷體" w:cs="Times New Roman" w:hint="eastAsia"/>
                <w:szCs w:val="24"/>
                <w:u w:val="single"/>
              </w:rPr>
              <w:t>。</w:t>
            </w:r>
          </w:p>
          <w:p w:rsidR="00E07CEF" w:rsidRDefault="009F2076" w:rsidP="007938E6">
            <w:pPr>
              <w:ind w:leftChars="92" w:left="221" w:firstLineChars="193" w:firstLine="463"/>
              <w:rPr>
                <w:rFonts w:ascii="標楷體" w:eastAsia="標楷體" w:hAnsi="標楷體" w:cs="Times New Roman"/>
                <w:szCs w:val="24"/>
                <w:u w:val="single"/>
              </w:rPr>
            </w:pPr>
            <w:r w:rsidRPr="00F407ED">
              <w:rPr>
                <w:rFonts w:ascii="標楷體" w:eastAsia="標楷體" w:hAnsi="標楷體" w:cs="Times New Roman" w:hint="eastAsia"/>
                <w:szCs w:val="24"/>
                <w:u w:val="single"/>
              </w:rPr>
              <w:t>已依</w:t>
            </w:r>
            <w:r w:rsidR="000A4DEA">
              <w:rPr>
                <w:rFonts w:ascii="標楷體" w:eastAsia="標楷體" w:hAnsi="標楷體" w:cs="Times New Roman" w:hint="eastAsia"/>
                <w:szCs w:val="24"/>
                <w:u w:val="single"/>
              </w:rPr>
              <w:t>前</w:t>
            </w:r>
            <w:r w:rsidR="00891B45" w:rsidRPr="00891B45">
              <w:rPr>
                <w:rFonts w:ascii="標楷體" w:eastAsia="標楷體" w:hAnsi="標楷體" w:cs="Times New Roman" w:hint="eastAsia"/>
                <w:szCs w:val="24"/>
                <w:u w:val="single"/>
              </w:rPr>
              <w:t>項規定計收租金者，</w:t>
            </w:r>
            <w:r w:rsidRPr="00F407ED">
              <w:rPr>
                <w:rFonts w:ascii="標楷體" w:eastAsia="標楷體" w:hAnsi="標楷體" w:cs="Times New Roman" w:hint="eastAsia"/>
                <w:szCs w:val="24"/>
                <w:u w:val="single"/>
              </w:rPr>
              <w:t>不得依其他法令</w:t>
            </w:r>
            <w:r w:rsidR="00E07CEF">
              <w:rPr>
                <w:rFonts w:ascii="標楷體" w:eastAsia="標楷體" w:hAnsi="標楷體" w:cs="Times New Roman" w:hint="eastAsia"/>
                <w:szCs w:val="24"/>
                <w:u w:val="single"/>
              </w:rPr>
              <w:t>規定</w:t>
            </w:r>
            <w:r w:rsidRPr="00F407ED">
              <w:rPr>
                <w:rFonts w:ascii="標楷體" w:eastAsia="標楷體" w:hAnsi="標楷體" w:cs="Times New Roman" w:hint="eastAsia"/>
                <w:szCs w:val="24"/>
                <w:u w:val="single"/>
              </w:rPr>
              <w:t>優惠租金。</w:t>
            </w:r>
          </w:p>
          <w:p w:rsidR="007938E6" w:rsidRPr="007938E6" w:rsidRDefault="007938E6" w:rsidP="007938E6">
            <w:pPr>
              <w:ind w:leftChars="92" w:left="221" w:firstLineChars="193" w:firstLine="463"/>
              <w:rPr>
                <w:rFonts w:ascii="標楷體" w:eastAsia="標楷體" w:hAnsi="標楷體" w:cs="Times New Roman"/>
                <w:szCs w:val="24"/>
              </w:rPr>
            </w:pPr>
          </w:p>
        </w:tc>
        <w:tc>
          <w:tcPr>
            <w:tcW w:w="3024" w:type="dxa"/>
            <w:tcBorders>
              <w:bottom w:val="single" w:sz="4" w:space="0" w:color="auto"/>
            </w:tcBorders>
          </w:tcPr>
          <w:p w:rsidR="00591A43" w:rsidRPr="00012219" w:rsidRDefault="00591A43" w:rsidP="003C2091">
            <w:pPr>
              <w:ind w:left="221" w:hangingChars="92" w:hanging="221"/>
              <w:rPr>
                <w:rFonts w:ascii="標楷體" w:eastAsia="標楷體" w:hAnsi="標楷體" w:cs="Times New Roman"/>
                <w:szCs w:val="24"/>
              </w:rPr>
            </w:pPr>
            <w:r w:rsidRPr="00012219">
              <w:rPr>
                <w:rFonts w:ascii="標楷體" w:eastAsia="標楷體" w:hAnsi="標楷體" w:cs="Times New Roman" w:hint="eastAsia"/>
                <w:szCs w:val="24"/>
              </w:rPr>
              <w:t>第七條　公有市場之租金不得低於</w:t>
            </w:r>
            <w:r w:rsidRPr="00922D13">
              <w:rPr>
                <w:rFonts w:ascii="標楷體" w:eastAsia="標楷體" w:hAnsi="標楷體" w:cs="Times New Roman" w:hint="eastAsia"/>
                <w:szCs w:val="24"/>
                <w:u w:val="single"/>
              </w:rPr>
              <w:t>臺中市市有房地租金率基準規定</w:t>
            </w:r>
            <w:r w:rsidRPr="00012219">
              <w:rPr>
                <w:rFonts w:ascii="標楷體" w:eastAsia="標楷體" w:hAnsi="標楷體" w:cs="Times New Roman" w:hint="eastAsia"/>
                <w:szCs w:val="24"/>
              </w:rPr>
              <w:t>。但公有市場經招標二次仍未決標者，得按原定底價減價一成，再次辦理招標。</w:t>
            </w:r>
          </w:p>
          <w:p w:rsidR="00591A43" w:rsidRPr="004A33D7" w:rsidRDefault="00591A43" w:rsidP="003C2091">
            <w:pPr>
              <w:ind w:leftChars="92" w:left="221" w:firstLineChars="193" w:firstLine="463"/>
              <w:rPr>
                <w:rFonts w:ascii="標楷體" w:eastAsia="標楷體" w:hAnsi="標楷體" w:cs="Times New Roman"/>
                <w:color w:val="FF0000"/>
                <w:szCs w:val="24"/>
              </w:rPr>
            </w:pPr>
            <w:r w:rsidRPr="00012219">
              <w:rPr>
                <w:rFonts w:ascii="標楷體" w:eastAsia="標楷體" w:hAnsi="標楷體" w:cs="Times New Roman" w:hint="eastAsia"/>
                <w:szCs w:val="24"/>
              </w:rPr>
              <w:t>依前項規定辦理招標仍未決標者，得由經發局另行估定租金底價再次辦理招標。另行估定之租金底價不得低於稅負及其他支出之總額。</w:t>
            </w:r>
          </w:p>
        </w:tc>
        <w:tc>
          <w:tcPr>
            <w:tcW w:w="3025" w:type="dxa"/>
          </w:tcPr>
          <w:p w:rsidR="00FB0A4C" w:rsidRDefault="00FB0A4C" w:rsidP="00FB0A4C">
            <w:pPr>
              <w:pStyle w:val="a3"/>
              <w:numPr>
                <w:ilvl w:val="0"/>
                <w:numId w:val="3"/>
              </w:numPr>
              <w:ind w:leftChars="0"/>
              <w:rPr>
                <w:rFonts w:ascii="標楷體" w:eastAsia="標楷體" w:hAnsi="標楷體" w:cs="Times New Roman"/>
                <w:color w:val="000000"/>
                <w:szCs w:val="24"/>
              </w:rPr>
            </w:pPr>
            <w:r w:rsidRPr="00FB0A4C">
              <w:rPr>
                <w:rFonts w:ascii="標楷體" w:eastAsia="標楷體" w:hAnsi="標楷體" w:cs="Times New Roman" w:hint="eastAsia"/>
                <w:color w:val="000000"/>
                <w:szCs w:val="24"/>
              </w:rPr>
              <w:t>經濟發展局辦理公有市場現況標租或委託經營管理，於本辦法原訂定公有市場之租金不得低於臺中市市有房地租金率基準規定，爰依該基準規定，於本辦法載明公有市場之租金不得低於當期土地申報地價總額年息百分之五及收租當期稅捐稽徵機關房屋課稅現值年息百分之十，以茲明確。</w:t>
            </w:r>
          </w:p>
          <w:p w:rsidR="00F97E8C" w:rsidRDefault="00F97E8C" w:rsidP="00FB0A4C">
            <w:pPr>
              <w:pStyle w:val="a3"/>
              <w:numPr>
                <w:ilvl w:val="0"/>
                <w:numId w:val="3"/>
              </w:numPr>
              <w:ind w:leftChars="0"/>
              <w:rPr>
                <w:rFonts w:ascii="標楷體" w:eastAsia="標楷體" w:hAnsi="標楷體" w:cs="Times New Roman"/>
                <w:color w:val="000000"/>
                <w:szCs w:val="24"/>
              </w:rPr>
            </w:pPr>
            <w:r>
              <w:rPr>
                <w:rFonts w:ascii="標楷體" w:eastAsia="標楷體" w:hAnsi="標楷體" w:cs="Times New Roman" w:hint="eastAsia"/>
                <w:color w:val="000000"/>
                <w:szCs w:val="24"/>
              </w:rPr>
              <w:t>第二項</w:t>
            </w:r>
            <w:r w:rsidR="00FD404E">
              <w:rPr>
                <w:rFonts w:ascii="標楷體" w:eastAsia="標楷體" w:hAnsi="標楷體" w:cs="Times New Roman" w:hint="eastAsia"/>
                <w:color w:val="000000"/>
                <w:szCs w:val="24"/>
              </w:rPr>
              <w:t>不修正</w:t>
            </w:r>
            <w:r>
              <w:rPr>
                <w:rFonts w:ascii="標楷體" w:eastAsia="標楷體" w:hAnsi="標楷體" w:cs="Times New Roman" w:hint="eastAsia"/>
                <w:color w:val="000000"/>
                <w:szCs w:val="24"/>
              </w:rPr>
              <w:t>。</w:t>
            </w:r>
          </w:p>
          <w:p w:rsidR="007938E6" w:rsidRPr="00F97E8C" w:rsidRDefault="007C0D29" w:rsidP="00AC5375">
            <w:pPr>
              <w:pStyle w:val="a3"/>
              <w:numPr>
                <w:ilvl w:val="0"/>
                <w:numId w:val="3"/>
              </w:numPr>
              <w:ind w:leftChars="0"/>
              <w:rPr>
                <w:rFonts w:ascii="標楷體" w:eastAsia="標楷體" w:hAnsi="標楷體" w:cs="Times New Roman"/>
                <w:szCs w:val="24"/>
              </w:rPr>
            </w:pPr>
            <w:r w:rsidRPr="00F97E8C">
              <w:rPr>
                <w:rFonts w:ascii="標楷體" w:eastAsia="標楷體" w:hAnsi="標楷體" w:cs="Times New Roman" w:hint="eastAsia"/>
                <w:color w:val="000000"/>
                <w:szCs w:val="24"/>
              </w:rPr>
              <w:t>依平均地權條例，</w:t>
            </w:r>
            <w:r w:rsidR="003F439D" w:rsidRPr="00F97E8C">
              <w:rPr>
                <w:rFonts w:ascii="標楷體" w:eastAsia="標楷體" w:hAnsi="標楷體" w:cs="Times New Roman" w:hint="eastAsia"/>
                <w:color w:val="000000"/>
                <w:szCs w:val="24"/>
              </w:rPr>
              <w:t>公告地價每</w:t>
            </w:r>
            <w:r w:rsidR="00FE6AE4" w:rsidRPr="00F97E8C">
              <w:rPr>
                <w:rFonts w:ascii="標楷體" w:eastAsia="標楷體" w:hAnsi="標楷體" w:cs="Times New Roman" w:hint="eastAsia"/>
                <w:color w:val="000000"/>
                <w:szCs w:val="24"/>
              </w:rPr>
              <w:t>三</w:t>
            </w:r>
            <w:r w:rsidR="003F439D" w:rsidRPr="00F97E8C">
              <w:rPr>
                <w:rFonts w:ascii="標楷體" w:eastAsia="標楷體" w:hAnsi="標楷體" w:cs="Times New Roman" w:hint="eastAsia"/>
                <w:color w:val="000000"/>
                <w:szCs w:val="24"/>
              </w:rPr>
              <w:t>年重新規定</w:t>
            </w:r>
            <w:r w:rsidR="00412986" w:rsidRPr="00F97E8C">
              <w:rPr>
                <w:rFonts w:ascii="標楷體" w:eastAsia="標楷體" w:hAnsi="標楷體" w:cs="Times New Roman" w:hint="eastAsia"/>
                <w:color w:val="000000"/>
                <w:szCs w:val="24"/>
              </w:rPr>
              <w:t>一</w:t>
            </w:r>
            <w:r w:rsidR="003F439D" w:rsidRPr="00F97E8C">
              <w:rPr>
                <w:rFonts w:ascii="標楷體" w:eastAsia="標楷體" w:hAnsi="標楷體" w:cs="Times New Roman" w:hint="eastAsia"/>
                <w:color w:val="000000"/>
                <w:szCs w:val="24"/>
              </w:rPr>
              <w:t>次，本市最近</w:t>
            </w:r>
            <w:r w:rsidR="00FE6AE4" w:rsidRPr="00F97E8C">
              <w:rPr>
                <w:rFonts w:ascii="標楷體" w:eastAsia="標楷體" w:hAnsi="標楷體" w:cs="Times New Roman" w:hint="eastAsia"/>
                <w:color w:val="000000"/>
                <w:szCs w:val="24"/>
              </w:rPr>
              <w:t>二十</w:t>
            </w:r>
            <w:r w:rsidR="003F439D" w:rsidRPr="00F97E8C">
              <w:rPr>
                <w:rFonts w:ascii="標楷體" w:eastAsia="標楷體" w:hAnsi="標楷體" w:cs="Times New Roman" w:hint="eastAsia"/>
                <w:color w:val="000000"/>
                <w:szCs w:val="24"/>
              </w:rPr>
              <w:t>年公告地價平均漲幅</w:t>
            </w:r>
            <w:r w:rsidR="00FE6AE4" w:rsidRPr="00F97E8C">
              <w:rPr>
                <w:rFonts w:ascii="標楷體" w:eastAsia="標楷體" w:hAnsi="標楷體" w:cs="Times New Roman" w:hint="eastAsia"/>
                <w:color w:val="000000"/>
                <w:szCs w:val="24"/>
              </w:rPr>
              <w:t>百分之十五點一八</w:t>
            </w:r>
            <w:r w:rsidR="003F439D" w:rsidRPr="00F97E8C">
              <w:rPr>
                <w:rFonts w:ascii="標楷體" w:eastAsia="標楷體" w:hAnsi="標楷體" w:cs="Times New Roman" w:hint="eastAsia"/>
                <w:color w:val="000000"/>
                <w:szCs w:val="24"/>
              </w:rPr>
              <w:t>，與全國平均漲幅</w:t>
            </w:r>
            <w:r w:rsidR="00FE6AE4" w:rsidRPr="00F97E8C">
              <w:rPr>
                <w:rFonts w:ascii="標楷體" w:eastAsia="標楷體" w:hAnsi="標楷體" w:cs="Times New Roman" w:hint="eastAsia"/>
                <w:color w:val="000000"/>
                <w:szCs w:val="24"/>
              </w:rPr>
              <w:t>百分之十三點一八</w:t>
            </w:r>
            <w:r w:rsidR="003F439D" w:rsidRPr="00F97E8C">
              <w:rPr>
                <w:rFonts w:ascii="標楷體" w:eastAsia="標楷體" w:hAnsi="標楷體" w:cs="Times New Roman" w:hint="eastAsia"/>
                <w:color w:val="000000"/>
                <w:szCs w:val="24"/>
              </w:rPr>
              <w:t>相當，惟本市</w:t>
            </w:r>
            <w:r w:rsidR="00FE6AE4" w:rsidRPr="00F97E8C">
              <w:rPr>
                <w:rFonts w:ascii="標楷體" w:eastAsia="標楷體" w:hAnsi="標楷體" w:cs="Times New Roman" w:hint="eastAsia"/>
                <w:color w:val="000000"/>
                <w:szCs w:val="24"/>
              </w:rPr>
              <w:t>一百零五</w:t>
            </w:r>
            <w:r w:rsidR="003F439D" w:rsidRPr="00F97E8C">
              <w:rPr>
                <w:rFonts w:ascii="標楷體" w:eastAsia="標楷體" w:hAnsi="標楷體" w:cs="Times New Roman" w:hint="eastAsia"/>
                <w:color w:val="000000"/>
                <w:szCs w:val="24"/>
              </w:rPr>
              <w:t>年公告地價平均漲幅高達</w:t>
            </w:r>
            <w:r w:rsidR="00FE6AE4" w:rsidRPr="00F97E8C">
              <w:rPr>
                <w:rFonts w:ascii="標楷體" w:eastAsia="標楷體" w:hAnsi="標楷體" w:cs="Times New Roman" w:hint="eastAsia"/>
                <w:color w:val="000000"/>
                <w:szCs w:val="24"/>
              </w:rPr>
              <w:t>百分之三十八點二五</w:t>
            </w:r>
            <w:r w:rsidR="003F439D" w:rsidRPr="00F97E8C">
              <w:rPr>
                <w:rFonts w:ascii="標楷體" w:eastAsia="標楷體" w:hAnsi="標楷體" w:cs="Times New Roman" w:hint="eastAsia"/>
                <w:color w:val="000000"/>
                <w:szCs w:val="24"/>
              </w:rPr>
              <w:t>，高於全國</w:t>
            </w:r>
            <w:r w:rsidR="00FE6AE4" w:rsidRPr="00F97E8C">
              <w:rPr>
                <w:rFonts w:ascii="標楷體" w:eastAsia="標楷體" w:hAnsi="標楷體" w:cs="Times New Roman" w:hint="eastAsia"/>
                <w:color w:val="000000"/>
                <w:szCs w:val="24"/>
              </w:rPr>
              <w:t>一百零五</w:t>
            </w:r>
            <w:r w:rsidR="003F439D" w:rsidRPr="00F97E8C">
              <w:rPr>
                <w:rFonts w:ascii="標楷體" w:eastAsia="標楷體" w:hAnsi="標楷體" w:cs="Times New Roman" w:hint="eastAsia"/>
                <w:color w:val="000000"/>
                <w:szCs w:val="24"/>
              </w:rPr>
              <w:t>年平均值</w:t>
            </w:r>
            <w:r w:rsidR="00FE6AE4" w:rsidRPr="00F97E8C">
              <w:rPr>
                <w:rFonts w:ascii="標楷體" w:eastAsia="標楷體" w:hAnsi="標楷體" w:cs="Times New Roman" w:hint="eastAsia"/>
                <w:color w:val="000000"/>
                <w:szCs w:val="24"/>
              </w:rPr>
              <w:t>百分之三十點五四</w:t>
            </w:r>
            <w:r w:rsidR="003F439D" w:rsidRPr="00F97E8C">
              <w:rPr>
                <w:rFonts w:ascii="標楷體" w:eastAsia="標楷體" w:hAnsi="標楷體" w:cs="Times New Roman" w:hint="eastAsia"/>
                <w:color w:val="000000"/>
                <w:szCs w:val="24"/>
              </w:rPr>
              <w:t>，為六都之最。經查自民國</w:t>
            </w:r>
            <w:r w:rsidR="00FE6AE4" w:rsidRPr="00F97E8C">
              <w:rPr>
                <w:rFonts w:ascii="標楷體" w:eastAsia="標楷體" w:hAnsi="標楷體" w:cs="Times New Roman" w:hint="eastAsia"/>
                <w:color w:val="000000"/>
                <w:szCs w:val="24"/>
              </w:rPr>
              <w:t>八十六</w:t>
            </w:r>
            <w:r w:rsidR="003F439D" w:rsidRPr="00F97E8C">
              <w:rPr>
                <w:rFonts w:ascii="標楷體" w:eastAsia="標楷體" w:hAnsi="標楷體" w:cs="Times New Roman" w:hint="eastAsia"/>
                <w:color w:val="000000"/>
                <w:szCs w:val="24"/>
              </w:rPr>
              <w:t>年至</w:t>
            </w:r>
            <w:r w:rsidR="00FE6AE4" w:rsidRPr="00F97E8C">
              <w:rPr>
                <w:rFonts w:ascii="標楷體" w:eastAsia="標楷體" w:hAnsi="標楷體" w:cs="Times New Roman" w:hint="eastAsia"/>
                <w:color w:val="000000"/>
                <w:szCs w:val="24"/>
              </w:rPr>
              <w:t>一百零二</w:t>
            </w:r>
            <w:r w:rsidR="003F439D" w:rsidRPr="00F97E8C">
              <w:rPr>
                <w:rFonts w:ascii="標楷體" w:eastAsia="標楷體" w:hAnsi="標楷體" w:cs="Times New Roman" w:hint="eastAsia"/>
                <w:color w:val="000000"/>
                <w:szCs w:val="24"/>
              </w:rPr>
              <w:t>年間，本市公告地價調整幅度介於</w:t>
            </w:r>
            <w:r w:rsidR="00FE6AE4" w:rsidRPr="00F97E8C">
              <w:rPr>
                <w:rFonts w:ascii="標楷體" w:eastAsia="標楷體" w:hAnsi="標楷體" w:cs="Times New Roman" w:hint="eastAsia"/>
                <w:color w:val="000000"/>
                <w:szCs w:val="24"/>
              </w:rPr>
              <w:t>百分之一點二七</w:t>
            </w:r>
            <w:r w:rsidR="003F439D" w:rsidRPr="00F97E8C">
              <w:rPr>
                <w:rFonts w:ascii="標楷體" w:eastAsia="標楷體" w:hAnsi="標楷體" w:cs="Times New Roman" w:hint="eastAsia"/>
                <w:color w:val="000000"/>
                <w:szCs w:val="24"/>
              </w:rPr>
              <w:t>與</w:t>
            </w:r>
            <w:r w:rsidR="00FE6AE4" w:rsidRPr="00F97E8C">
              <w:rPr>
                <w:rFonts w:ascii="標楷體" w:eastAsia="標楷體" w:hAnsi="標楷體" w:cs="Times New Roman" w:hint="eastAsia"/>
                <w:color w:val="000000"/>
                <w:szCs w:val="24"/>
              </w:rPr>
              <w:t>百分之二十一點四</w:t>
            </w:r>
            <w:r w:rsidR="003F439D" w:rsidRPr="00F97E8C">
              <w:rPr>
                <w:rFonts w:ascii="標楷體" w:eastAsia="標楷體" w:hAnsi="標楷體" w:cs="Times New Roman" w:hint="eastAsia"/>
                <w:color w:val="000000"/>
                <w:szCs w:val="24"/>
              </w:rPr>
              <w:t>間，惟</w:t>
            </w:r>
            <w:r w:rsidR="00FE6AE4" w:rsidRPr="00F97E8C">
              <w:rPr>
                <w:rFonts w:ascii="標楷體" w:eastAsia="標楷體" w:hAnsi="標楷體" w:cs="Times New Roman" w:hint="eastAsia"/>
                <w:color w:val="000000"/>
                <w:szCs w:val="24"/>
              </w:rPr>
              <w:t>一百零五</w:t>
            </w:r>
            <w:r w:rsidR="003F439D" w:rsidRPr="00F97E8C">
              <w:rPr>
                <w:rFonts w:ascii="標楷體" w:eastAsia="標楷體" w:hAnsi="標楷體" w:cs="Times New Roman" w:hint="eastAsia"/>
                <w:color w:val="000000"/>
                <w:szCs w:val="24"/>
              </w:rPr>
              <w:t>年公告地價調幅甚大，為衡酌租金收入與</w:t>
            </w:r>
            <w:r w:rsidR="003F439D" w:rsidRPr="00F97E8C">
              <w:rPr>
                <w:rFonts w:ascii="標楷體" w:eastAsia="標楷體" w:hAnsi="標楷體" w:cs="Times New Roman" w:hint="eastAsia"/>
                <w:color w:val="000000"/>
                <w:szCs w:val="24"/>
              </w:rPr>
              <w:lastRenderedPageBreak/>
              <w:t>廠商投標意願，俾利市場永續發展，擬參酌本市最近</w:t>
            </w:r>
            <w:r w:rsidR="00FE6AE4" w:rsidRPr="00F97E8C">
              <w:rPr>
                <w:rFonts w:ascii="標楷體" w:eastAsia="標楷體" w:hAnsi="標楷體" w:cs="Times New Roman" w:hint="eastAsia"/>
                <w:color w:val="000000"/>
                <w:szCs w:val="24"/>
              </w:rPr>
              <w:t>二十</w:t>
            </w:r>
            <w:r w:rsidR="003F439D" w:rsidRPr="00F97E8C">
              <w:rPr>
                <w:rFonts w:ascii="標楷體" w:eastAsia="標楷體" w:hAnsi="標楷體" w:cs="Times New Roman" w:hint="eastAsia"/>
                <w:color w:val="000000"/>
                <w:szCs w:val="24"/>
              </w:rPr>
              <w:t>年公告地價平均調漲幅度，限制因公告地價調整之租金漲幅。</w:t>
            </w:r>
            <w:r w:rsidR="00F97E8C">
              <w:rPr>
                <w:rFonts w:ascii="標楷體" w:eastAsia="標楷體" w:hAnsi="標楷體" w:cs="Times New Roman" w:hint="eastAsia"/>
                <w:color w:val="000000"/>
                <w:szCs w:val="24"/>
              </w:rPr>
              <w:t>故</w:t>
            </w:r>
            <w:r w:rsidR="00F97E8C" w:rsidRPr="00F97E8C">
              <w:rPr>
                <w:rFonts w:ascii="標楷體" w:eastAsia="標楷體" w:hAnsi="標楷體" w:cs="Times New Roman" w:hint="eastAsia"/>
                <w:color w:val="000000"/>
                <w:szCs w:val="24"/>
              </w:rPr>
              <w:t>增訂第三項</w:t>
            </w:r>
            <w:r w:rsidR="00F93B34" w:rsidRPr="00F97E8C">
              <w:rPr>
                <w:rFonts w:ascii="標楷體" w:eastAsia="標楷體" w:hAnsi="標楷體" w:cs="Times New Roman" w:hint="eastAsia"/>
                <w:color w:val="000000"/>
                <w:szCs w:val="24"/>
              </w:rPr>
              <w:t>委外</w:t>
            </w:r>
            <w:r w:rsidR="00075516" w:rsidRPr="00F97E8C">
              <w:rPr>
                <w:rFonts w:ascii="標楷體" w:eastAsia="標楷體" w:hAnsi="標楷體" w:cs="Times New Roman" w:hint="eastAsia"/>
                <w:color w:val="000000"/>
                <w:szCs w:val="24"/>
              </w:rPr>
              <w:t>經營</w:t>
            </w:r>
            <w:r w:rsidR="00157BFF" w:rsidRPr="00F97E8C">
              <w:rPr>
                <w:rFonts w:ascii="標楷體" w:eastAsia="標楷體" w:hAnsi="標楷體" w:cs="Times New Roman" w:hint="eastAsia"/>
                <w:color w:val="000000"/>
                <w:szCs w:val="24"/>
              </w:rPr>
              <w:t>公有</w:t>
            </w:r>
            <w:r w:rsidR="00F93B34" w:rsidRPr="00F97E8C">
              <w:rPr>
                <w:rFonts w:ascii="標楷體" w:eastAsia="標楷體" w:hAnsi="標楷體" w:cs="Times New Roman" w:hint="eastAsia"/>
                <w:color w:val="000000"/>
                <w:szCs w:val="24"/>
              </w:rPr>
              <w:t>市場因</w:t>
            </w:r>
            <w:r w:rsidR="00075516" w:rsidRPr="00F97E8C">
              <w:rPr>
                <w:rFonts w:ascii="標楷體" w:eastAsia="標楷體" w:hAnsi="標楷體" w:cs="Times New Roman" w:hint="eastAsia"/>
                <w:color w:val="000000"/>
                <w:szCs w:val="24"/>
              </w:rPr>
              <w:t>土地</w:t>
            </w:r>
            <w:r w:rsidR="00D15486" w:rsidRPr="00F97E8C">
              <w:rPr>
                <w:rFonts w:ascii="標楷體" w:eastAsia="標楷體" w:hAnsi="標楷體" w:cs="Times New Roman" w:hint="eastAsia"/>
                <w:color w:val="000000"/>
                <w:szCs w:val="24"/>
              </w:rPr>
              <w:t>申報</w:t>
            </w:r>
            <w:r w:rsidR="00075516" w:rsidRPr="00F97E8C">
              <w:rPr>
                <w:rFonts w:ascii="標楷體" w:eastAsia="標楷體" w:hAnsi="標楷體" w:cs="Times New Roman" w:hint="eastAsia"/>
                <w:color w:val="000000"/>
                <w:szCs w:val="24"/>
              </w:rPr>
              <w:t>地價</w:t>
            </w:r>
            <w:r w:rsidR="00D15486" w:rsidRPr="00F97E8C">
              <w:rPr>
                <w:rFonts w:ascii="標楷體" w:eastAsia="標楷體" w:hAnsi="標楷體" w:cs="Times New Roman" w:hint="eastAsia"/>
                <w:color w:val="000000"/>
                <w:szCs w:val="24"/>
              </w:rPr>
              <w:t>或房屋課稅現值</w:t>
            </w:r>
            <w:r w:rsidR="00075516" w:rsidRPr="00F97E8C">
              <w:rPr>
                <w:rFonts w:ascii="標楷體" w:eastAsia="標楷體" w:hAnsi="標楷體" w:cs="Times New Roman" w:hint="eastAsia"/>
                <w:color w:val="000000"/>
                <w:szCs w:val="24"/>
              </w:rPr>
              <w:t>調整時，</w:t>
            </w:r>
            <w:r w:rsidR="00075516" w:rsidRPr="00F97E8C">
              <w:rPr>
                <w:rFonts w:ascii="標楷體" w:eastAsia="標楷體" w:hAnsi="標楷體" w:cs="Times New Roman" w:hint="eastAsia"/>
                <w:szCs w:val="24"/>
              </w:rPr>
              <w:t>計算</w:t>
            </w:r>
            <w:r w:rsidR="007D4609" w:rsidRPr="00F97E8C">
              <w:rPr>
                <w:rFonts w:ascii="標楷體" w:eastAsia="標楷體" w:hAnsi="標楷體" w:cs="Times New Roman" w:hint="eastAsia"/>
                <w:szCs w:val="24"/>
              </w:rPr>
              <w:t>其</w:t>
            </w:r>
            <w:r w:rsidR="00075516" w:rsidRPr="00F97E8C">
              <w:rPr>
                <w:rFonts w:ascii="標楷體" w:eastAsia="標楷體" w:hAnsi="標楷體" w:cs="Times New Roman" w:hint="eastAsia"/>
                <w:szCs w:val="24"/>
              </w:rPr>
              <w:t>租金</w:t>
            </w:r>
            <w:r w:rsidR="00D77F2B" w:rsidRPr="00F97E8C">
              <w:rPr>
                <w:rFonts w:ascii="標楷體" w:eastAsia="標楷體" w:hAnsi="標楷體" w:cs="Times New Roman" w:hint="eastAsia"/>
                <w:szCs w:val="24"/>
              </w:rPr>
              <w:t>如</w:t>
            </w:r>
            <w:r w:rsidR="00075516" w:rsidRPr="00F97E8C">
              <w:rPr>
                <w:rFonts w:ascii="標楷體" w:eastAsia="標楷體" w:hAnsi="標楷體" w:cs="Times New Roman" w:hint="eastAsia"/>
                <w:szCs w:val="24"/>
              </w:rPr>
              <w:t>高於</w:t>
            </w:r>
            <w:r w:rsidR="003839EF" w:rsidRPr="00F97E8C">
              <w:rPr>
                <w:rFonts w:ascii="標楷體" w:eastAsia="標楷體" w:hAnsi="標楷體" w:cs="Times New Roman" w:hint="eastAsia"/>
                <w:szCs w:val="24"/>
              </w:rPr>
              <w:t>前</w:t>
            </w:r>
            <w:r w:rsidR="00F630DF" w:rsidRPr="00F97E8C">
              <w:rPr>
                <w:rFonts w:ascii="標楷體" w:eastAsia="標楷體" w:hAnsi="標楷體" w:cs="Times New Roman" w:hint="eastAsia"/>
                <w:szCs w:val="24"/>
              </w:rPr>
              <w:t>一年度</w:t>
            </w:r>
            <w:r w:rsidR="003839EF" w:rsidRPr="00F97E8C">
              <w:rPr>
                <w:rFonts w:ascii="標楷體" w:eastAsia="標楷體" w:hAnsi="標楷體" w:cs="Times New Roman" w:hint="eastAsia"/>
                <w:szCs w:val="24"/>
              </w:rPr>
              <w:t>租金</w:t>
            </w:r>
            <w:r w:rsidR="00D77F2B" w:rsidRPr="00F97E8C">
              <w:rPr>
                <w:rFonts w:ascii="標楷體" w:eastAsia="標楷體" w:hAnsi="標楷體" w:cs="Times New Roman" w:hint="eastAsia"/>
                <w:szCs w:val="24"/>
              </w:rPr>
              <w:t>，</w:t>
            </w:r>
            <w:r w:rsidR="00782216" w:rsidRPr="00F97E8C">
              <w:rPr>
                <w:rFonts w:ascii="標楷體" w:eastAsia="標楷體" w:hAnsi="標楷體" w:cs="Times New Roman" w:hint="eastAsia"/>
                <w:szCs w:val="24"/>
              </w:rPr>
              <w:t>調</w:t>
            </w:r>
            <w:r w:rsidR="00AE03FA" w:rsidRPr="00F97E8C">
              <w:rPr>
                <w:rFonts w:ascii="標楷體" w:eastAsia="標楷體" w:hAnsi="標楷體" w:cs="Times New Roman" w:hint="eastAsia"/>
                <w:szCs w:val="24"/>
              </w:rPr>
              <w:t>漲</w:t>
            </w:r>
            <w:r w:rsidR="00782216" w:rsidRPr="00F97E8C">
              <w:rPr>
                <w:rFonts w:ascii="標楷體" w:eastAsia="標楷體" w:hAnsi="標楷體" w:cs="Times New Roman" w:hint="eastAsia"/>
                <w:szCs w:val="24"/>
              </w:rPr>
              <w:t>幅</w:t>
            </w:r>
            <w:r w:rsidR="00AE03FA" w:rsidRPr="00F97E8C">
              <w:rPr>
                <w:rFonts w:ascii="標楷體" w:eastAsia="標楷體" w:hAnsi="標楷體" w:cs="Times New Roman" w:hint="eastAsia"/>
                <w:szCs w:val="24"/>
              </w:rPr>
              <w:t>度</w:t>
            </w:r>
            <w:r w:rsidR="007D4609" w:rsidRPr="00F97E8C">
              <w:rPr>
                <w:rFonts w:ascii="標楷體" w:eastAsia="標楷體" w:hAnsi="標楷體" w:cs="Times New Roman" w:hint="eastAsia"/>
                <w:szCs w:val="24"/>
              </w:rPr>
              <w:t>以</w:t>
            </w:r>
            <w:r w:rsidR="00FE6AE4" w:rsidRPr="00F97E8C">
              <w:rPr>
                <w:rFonts w:ascii="標楷體" w:eastAsia="標楷體" w:hAnsi="標楷體" w:cs="Times New Roman" w:hint="eastAsia"/>
                <w:szCs w:val="24"/>
              </w:rPr>
              <w:t>百分之十五</w:t>
            </w:r>
            <w:r w:rsidR="00F93B34" w:rsidRPr="00F97E8C">
              <w:rPr>
                <w:rFonts w:ascii="標楷體" w:eastAsia="標楷體" w:hAnsi="標楷體" w:cs="Times New Roman" w:hint="eastAsia"/>
                <w:szCs w:val="24"/>
              </w:rPr>
              <w:t>為限</w:t>
            </w:r>
            <w:r w:rsidR="00912444" w:rsidRPr="00F97E8C">
              <w:rPr>
                <w:rFonts w:ascii="標楷體" w:eastAsia="標楷體" w:hAnsi="標楷體" w:cs="Times New Roman" w:hint="eastAsia"/>
                <w:szCs w:val="24"/>
              </w:rPr>
              <w:t>，</w:t>
            </w:r>
            <w:r w:rsidR="00F630DF" w:rsidRPr="00F97E8C">
              <w:rPr>
                <w:rFonts w:ascii="標楷體" w:eastAsia="標楷體" w:hAnsi="標楷體" w:cs="Times New Roman" w:hint="eastAsia"/>
                <w:szCs w:val="24"/>
              </w:rPr>
              <w:t>且調整後金額不得低於契約租金。</w:t>
            </w:r>
          </w:p>
          <w:p w:rsidR="00657E0C" w:rsidRPr="006506DC" w:rsidRDefault="00891B45" w:rsidP="00F97E8C">
            <w:pPr>
              <w:pStyle w:val="a3"/>
              <w:numPr>
                <w:ilvl w:val="0"/>
                <w:numId w:val="3"/>
              </w:numPr>
              <w:ind w:leftChars="0"/>
              <w:rPr>
                <w:rFonts w:ascii="標楷體" w:eastAsia="標楷體" w:hAnsi="標楷體" w:cs="Times New Roman"/>
                <w:color w:val="000000"/>
                <w:szCs w:val="24"/>
              </w:rPr>
            </w:pPr>
            <w:r>
              <w:rPr>
                <w:rFonts w:ascii="標楷體" w:eastAsia="標楷體" w:hAnsi="標楷體" w:cs="Times New Roman" w:hint="eastAsia"/>
                <w:color w:val="000000"/>
                <w:szCs w:val="24"/>
              </w:rPr>
              <w:t>增訂第</w:t>
            </w:r>
            <w:r w:rsidR="00F97E8C">
              <w:rPr>
                <w:rFonts w:ascii="標楷體" w:eastAsia="標楷體" w:hAnsi="標楷體" w:cs="Times New Roman" w:hint="eastAsia"/>
                <w:color w:val="000000"/>
                <w:szCs w:val="24"/>
              </w:rPr>
              <w:t>四</w:t>
            </w:r>
            <w:r>
              <w:rPr>
                <w:rFonts w:ascii="標楷體" w:eastAsia="標楷體" w:hAnsi="標楷體" w:cs="Times New Roman" w:hint="eastAsia"/>
                <w:color w:val="000000"/>
                <w:szCs w:val="24"/>
              </w:rPr>
              <w:t>項</w:t>
            </w:r>
            <w:r w:rsidR="00F97E8C">
              <w:rPr>
                <w:rFonts w:ascii="標楷體" w:eastAsia="標楷體" w:hAnsi="標楷體" w:cs="Times New Roman" w:hint="eastAsia"/>
                <w:color w:val="000000"/>
                <w:szCs w:val="24"/>
              </w:rPr>
              <w:t>，已依第三項</w:t>
            </w:r>
            <w:r w:rsidR="0041736C" w:rsidRPr="0041736C">
              <w:rPr>
                <w:rFonts w:ascii="標楷體" w:eastAsia="標楷體" w:hAnsi="標楷體" w:cs="Times New Roman" w:hint="eastAsia"/>
                <w:color w:val="000000"/>
                <w:szCs w:val="24"/>
              </w:rPr>
              <w:t>規定計收租金者，不得</w:t>
            </w:r>
            <w:r w:rsidR="00F97E8C">
              <w:rPr>
                <w:rFonts w:ascii="標楷體" w:eastAsia="標楷體" w:hAnsi="標楷體" w:cs="Times New Roman" w:hint="eastAsia"/>
                <w:color w:val="000000"/>
                <w:szCs w:val="24"/>
              </w:rPr>
              <w:t>再</w:t>
            </w:r>
            <w:r w:rsidR="0041736C" w:rsidRPr="0041736C">
              <w:rPr>
                <w:rFonts w:ascii="標楷體" w:eastAsia="標楷體" w:hAnsi="標楷體" w:cs="Times New Roman" w:hint="eastAsia"/>
                <w:color w:val="000000"/>
                <w:szCs w:val="24"/>
              </w:rPr>
              <w:t>依其他法令規定優惠租金。</w:t>
            </w:r>
          </w:p>
        </w:tc>
      </w:tr>
    </w:tbl>
    <w:p w:rsidR="005A39F8" w:rsidRPr="00E82CF2" w:rsidRDefault="00E04BBA" w:rsidP="00933271"/>
    <w:sectPr w:rsidR="005A39F8" w:rsidRPr="00E82CF2" w:rsidSect="00FE1E9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BBA" w:rsidRDefault="00E04BBA" w:rsidP="00014C0F">
      <w:r>
        <w:separator/>
      </w:r>
    </w:p>
  </w:endnote>
  <w:endnote w:type="continuationSeparator" w:id="0">
    <w:p w:rsidR="00E04BBA" w:rsidRDefault="00E04BBA" w:rsidP="00014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777407"/>
      <w:docPartObj>
        <w:docPartGallery w:val="Page Numbers (Bottom of Page)"/>
        <w:docPartUnique/>
      </w:docPartObj>
    </w:sdtPr>
    <w:sdtEndPr/>
    <w:sdtContent>
      <w:p w:rsidR="002505C9" w:rsidRDefault="002505C9" w:rsidP="00933271">
        <w:pPr>
          <w:pStyle w:val="a6"/>
          <w:jc w:val="center"/>
        </w:pPr>
        <w:r>
          <w:fldChar w:fldCharType="begin"/>
        </w:r>
        <w:r>
          <w:instrText>PAGE   \* MERGEFORMAT</w:instrText>
        </w:r>
        <w:r>
          <w:fldChar w:fldCharType="separate"/>
        </w:r>
        <w:r w:rsidR="00E04BBA" w:rsidRPr="00E04BBA">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BBA" w:rsidRDefault="00E04BBA" w:rsidP="00014C0F">
      <w:r>
        <w:separator/>
      </w:r>
    </w:p>
  </w:footnote>
  <w:footnote w:type="continuationSeparator" w:id="0">
    <w:p w:rsidR="00E04BBA" w:rsidRDefault="00E04BBA" w:rsidP="00014C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5D3F7C"/>
    <w:multiLevelType w:val="hybridMultilevel"/>
    <w:tmpl w:val="79C4F6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4350B6"/>
    <w:multiLevelType w:val="hybridMultilevel"/>
    <w:tmpl w:val="D0E451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B5C7C7D"/>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0A12DF"/>
    <w:multiLevelType w:val="hybridMultilevel"/>
    <w:tmpl w:val="5BA2C3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1007797"/>
    <w:multiLevelType w:val="hybridMultilevel"/>
    <w:tmpl w:val="4D5ACA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B31205"/>
    <w:multiLevelType w:val="hybridMultilevel"/>
    <w:tmpl w:val="FDFC6A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CF2"/>
    <w:rsid w:val="00010F33"/>
    <w:rsid w:val="0001182B"/>
    <w:rsid w:val="00012219"/>
    <w:rsid w:val="00014C0F"/>
    <w:rsid w:val="0002528A"/>
    <w:rsid w:val="0004319A"/>
    <w:rsid w:val="00055811"/>
    <w:rsid w:val="00061A37"/>
    <w:rsid w:val="00075516"/>
    <w:rsid w:val="000773C9"/>
    <w:rsid w:val="00083879"/>
    <w:rsid w:val="00087BA9"/>
    <w:rsid w:val="000A26D5"/>
    <w:rsid w:val="000A4DEA"/>
    <w:rsid w:val="000B505A"/>
    <w:rsid w:val="000C6CB6"/>
    <w:rsid w:val="000E6E28"/>
    <w:rsid w:val="001016F7"/>
    <w:rsid w:val="00113EC5"/>
    <w:rsid w:val="001174A1"/>
    <w:rsid w:val="00132AC4"/>
    <w:rsid w:val="00136F5C"/>
    <w:rsid w:val="00157BFF"/>
    <w:rsid w:val="0018128B"/>
    <w:rsid w:val="00197E0A"/>
    <w:rsid w:val="001A40BE"/>
    <w:rsid w:val="001B099B"/>
    <w:rsid w:val="001C4433"/>
    <w:rsid w:val="001D086D"/>
    <w:rsid w:val="001D464C"/>
    <w:rsid w:val="001E5DD8"/>
    <w:rsid w:val="001F4A87"/>
    <w:rsid w:val="00216CE7"/>
    <w:rsid w:val="00217880"/>
    <w:rsid w:val="002219FE"/>
    <w:rsid w:val="00246B3D"/>
    <w:rsid w:val="002505C9"/>
    <w:rsid w:val="00251394"/>
    <w:rsid w:val="00260324"/>
    <w:rsid w:val="0026699A"/>
    <w:rsid w:val="00286105"/>
    <w:rsid w:val="002A1377"/>
    <w:rsid w:val="002A45E0"/>
    <w:rsid w:val="002B127F"/>
    <w:rsid w:val="002B601B"/>
    <w:rsid w:val="002C7AA2"/>
    <w:rsid w:val="002D6481"/>
    <w:rsid w:val="002E02C4"/>
    <w:rsid w:val="002F2A81"/>
    <w:rsid w:val="002F5E9A"/>
    <w:rsid w:val="002F6078"/>
    <w:rsid w:val="002F6216"/>
    <w:rsid w:val="00304625"/>
    <w:rsid w:val="003345A0"/>
    <w:rsid w:val="00351286"/>
    <w:rsid w:val="003535CA"/>
    <w:rsid w:val="00355C09"/>
    <w:rsid w:val="00374B04"/>
    <w:rsid w:val="003839EF"/>
    <w:rsid w:val="00385554"/>
    <w:rsid w:val="00387AFB"/>
    <w:rsid w:val="003B0F0C"/>
    <w:rsid w:val="003B185B"/>
    <w:rsid w:val="003C2091"/>
    <w:rsid w:val="003C3CF4"/>
    <w:rsid w:val="003D4F67"/>
    <w:rsid w:val="003F4185"/>
    <w:rsid w:val="003F439D"/>
    <w:rsid w:val="003F5D14"/>
    <w:rsid w:val="00412986"/>
    <w:rsid w:val="00413BAB"/>
    <w:rsid w:val="0041736C"/>
    <w:rsid w:val="00417B79"/>
    <w:rsid w:val="004208B1"/>
    <w:rsid w:val="00495EB3"/>
    <w:rsid w:val="004A33D7"/>
    <w:rsid w:val="004C28F3"/>
    <w:rsid w:val="004D2AA6"/>
    <w:rsid w:val="004D778B"/>
    <w:rsid w:val="004D791E"/>
    <w:rsid w:val="004F1A5A"/>
    <w:rsid w:val="00502B20"/>
    <w:rsid w:val="00534C08"/>
    <w:rsid w:val="00544C77"/>
    <w:rsid w:val="005475D4"/>
    <w:rsid w:val="0056110C"/>
    <w:rsid w:val="00573062"/>
    <w:rsid w:val="005741A5"/>
    <w:rsid w:val="00587CA4"/>
    <w:rsid w:val="00591A43"/>
    <w:rsid w:val="0059685C"/>
    <w:rsid w:val="005B16F5"/>
    <w:rsid w:val="005C5864"/>
    <w:rsid w:val="005D244A"/>
    <w:rsid w:val="005D50F6"/>
    <w:rsid w:val="005E0625"/>
    <w:rsid w:val="005E07FB"/>
    <w:rsid w:val="005E53AC"/>
    <w:rsid w:val="005E6194"/>
    <w:rsid w:val="006034FA"/>
    <w:rsid w:val="006128F4"/>
    <w:rsid w:val="00622C31"/>
    <w:rsid w:val="006274F5"/>
    <w:rsid w:val="00642AA7"/>
    <w:rsid w:val="006506DC"/>
    <w:rsid w:val="00654DA5"/>
    <w:rsid w:val="00657E0C"/>
    <w:rsid w:val="00664667"/>
    <w:rsid w:val="00672688"/>
    <w:rsid w:val="0067546F"/>
    <w:rsid w:val="0067548E"/>
    <w:rsid w:val="00683290"/>
    <w:rsid w:val="00685323"/>
    <w:rsid w:val="006940FC"/>
    <w:rsid w:val="006A7874"/>
    <w:rsid w:val="006A7C1B"/>
    <w:rsid w:val="006B3352"/>
    <w:rsid w:val="006B757D"/>
    <w:rsid w:val="006C0CA3"/>
    <w:rsid w:val="006C135E"/>
    <w:rsid w:val="006C1C2A"/>
    <w:rsid w:val="006C3A04"/>
    <w:rsid w:val="007102A3"/>
    <w:rsid w:val="00730F52"/>
    <w:rsid w:val="00731EDA"/>
    <w:rsid w:val="00746BEF"/>
    <w:rsid w:val="007543BF"/>
    <w:rsid w:val="0076325F"/>
    <w:rsid w:val="007717F7"/>
    <w:rsid w:val="00776348"/>
    <w:rsid w:val="007817BB"/>
    <w:rsid w:val="00782216"/>
    <w:rsid w:val="00786FCE"/>
    <w:rsid w:val="00793499"/>
    <w:rsid w:val="007938E6"/>
    <w:rsid w:val="007B2B15"/>
    <w:rsid w:val="007C0D29"/>
    <w:rsid w:val="007D4609"/>
    <w:rsid w:val="007E1660"/>
    <w:rsid w:val="007E2B17"/>
    <w:rsid w:val="00801B17"/>
    <w:rsid w:val="00803AC0"/>
    <w:rsid w:val="00805D96"/>
    <w:rsid w:val="0082345A"/>
    <w:rsid w:val="0083548F"/>
    <w:rsid w:val="00835DF6"/>
    <w:rsid w:val="0084489B"/>
    <w:rsid w:val="00891B45"/>
    <w:rsid w:val="008B0181"/>
    <w:rsid w:val="008B7411"/>
    <w:rsid w:val="008C243B"/>
    <w:rsid w:val="008E609F"/>
    <w:rsid w:val="009029CC"/>
    <w:rsid w:val="00912444"/>
    <w:rsid w:val="00913471"/>
    <w:rsid w:val="00913B5C"/>
    <w:rsid w:val="00920A1B"/>
    <w:rsid w:val="0092277E"/>
    <w:rsid w:val="00922D13"/>
    <w:rsid w:val="00933271"/>
    <w:rsid w:val="009343EE"/>
    <w:rsid w:val="00951578"/>
    <w:rsid w:val="009614B2"/>
    <w:rsid w:val="0096447E"/>
    <w:rsid w:val="009700A2"/>
    <w:rsid w:val="00970D67"/>
    <w:rsid w:val="00972160"/>
    <w:rsid w:val="0098141D"/>
    <w:rsid w:val="009827A5"/>
    <w:rsid w:val="00990639"/>
    <w:rsid w:val="009A09C7"/>
    <w:rsid w:val="009E06ED"/>
    <w:rsid w:val="009E119B"/>
    <w:rsid w:val="009E4FB3"/>
    <w:rsid w:val="009F2076"/>
    <w:rsid w:val="00A269A6"/>
    <w:rsid w:val="00A3024C"/>
    <w:rsid w:val="00A30E27"/>
    <w:rsid w:val="00A317D9"/>
    <w:rsid w:val="00A34836"/>
    <w:rsid w:val="00A3574D"/>
    <w:rsid w:val="00A47168"/>
    <w:rsid w:val="00A720A7"/>
    <w:rsid w:val="00A85174"/>
    <w:rsid w:val="00AA7804"/>
    <w:rsid w:val="00AD67B0"/>
    <w:rsid w:val="00AE03FA"/>
    <w:rsid w:val="00AE22BB"/>
    <w:rsid w:val="00AE5800"/>
    <w:rsid w:val="00AE5D35"/>
    <w:rsid w:val="00AF642A"/>
    <w:rsid w:val="00AF6F20"/>
    <w:rsid w:val="00B05662"/>
    <w:rsid w:val="00B265CD"/>
    <w:rsid w:val="00B43A2E"/>
    <w:rsid w:val="00B5458C"/>
    <w:rsid w:val="00B56069"/>
    <w:rsid w:val="00B64CE4"/>
    <w:rsid w:val="00B925B1"/>
    <w:rsid w:val="00BB036F"/>
    <w:rsid w:val="00BC5BD1"/>
    <w:rsid w:val="00BE6FFF"/>
    <w:rsid w:val="00BF57E0"/>
    <w:rsid w:val="00BF5B22"/>
    <w:rsid w:val="00C0314D"/>
    <w:rsid w:val="00C11A85"/>
    <w:rsid w:val="00C1581B"/>
    <w:rsid w:val="00C4191E"/>
    <w:rsid w:val="00C44140"/>
    <w:rsid w:val="00C61939"/>
    <w:rsid w:val="00C61E60"/>
    <w:rsid w:val="00C64D3D"/>
    <w:rsid w:val="00C7433B"/>
    <w:rsid w:val="00C824A6"/>
    <w:rsid w:val="00C904B6"/>
    <w:rsid w:val="00C9294E"/>
    <w:rsid w:val="00CA1AA1"/>
    <w:rsid w:val="00CC64EA"/>
    <w:rsid w:val="00CD07A2"/>
    <w:rsid w:val="00CF39C3"/>
    <w:rsid w:val="00D003D4"/>
    <w:rsid w:val="00D03989"/>
    <w:rsid w:val="00D10D8E"/>
    <w:rsid w:val="00D10F51"/>
    <w:rsid w:val="00D15486"/>
    <w:rsid w:val="00D15638"/>
    <w:rsid w:val="00D17209"/>
    <w:rsid w:val="00D22B57"/>
    <w:rsid w:val="00D56EA7"/>
    <w:rsid w:val="00D73898"/>
    <w:rsid w:val="00D77F2B"/>
    <w:rsid w:val="00DA3B22"/>
    <w:rsid w:val="00DB0F02"/>
    <w:rsid w:val="00DC21A3"/>
    <w:rsid w:val="00DC692C"/>
    <w:rsid w:val="00DC77D8"/>
    <w:rsid w:val="00DD2298"/>
    <w:rsid w:val="00DE45E0"/>
    <w:rsid w:val="00E04BBA"/>
    <w:rsid w:val="00E07CEF"/>
    <w:rsid w:val="00E10190"/>
    <w:rsid w:val="00E15BB2"/>
    <w:rsid w:val="00E315B1"/>
    <w:rsid w:val="00E32AB9"/>
    <w:rsid w:val="00E34389"/>
    <w:rsid w:val="00E542DE"/>
    <w:rsid w:val="00E601A0"/>
    <w:rsid w:val="00E80C12"/>
    <w:rsid w:val="00E82CF2"/>
    <w:rsid w:val="00E86D3A"/>
    <w:rsid w:val="00EA02F2"/>
    <w:rsid w:val="00EB136F"/>
    <w:rsid w:val="00EB4F14"/>
    <w:rsid w:val="00EC0827"/>
    <w:rsid w:val="00EC3A1A"/>
    <w:rsid w:val="00F03F0B"/>
    <w:rsid w:val="00F221A3"/>
    <w:rsid w:val="00F252A1"/>
    <w:rsid w:val="00F27C28"/>
    <w:rsid w:val="00F407ED"/>
    <w:rsid w:val="00F61655"/>
    <w:rsid w:val="00F630DF"/>
    <w:rsid w:val="00F66F13"/>
    <w:rsid w:val="00F76379"/>
    <w:rsid w:val="00F93B34"/>
    <w:rsid w:val="00F97E8C"/>
    <w:rsid w:val="00FB0A4C"/>
    <w:rsid w:val="00FC5CF5"/>
    <w:rsid w:val="00FD404E"/>
    <w:rsid w:val="00FD444D"/>
    <w:rsid w:val="00FE1E97"/>
    <w:rsid w:val="00FE6AE4"/>
    <w:rsid w:val="00FF05C2"/>
    <w:rsid w:val="00FF4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5C6C671-922B-4217-9738-E7104147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0324"/>
    <w:pPr>
      <w:ind w:leftChars="200" w:left="480"/>
    </w:pPr>
  </w:style>
  <w:style w:type="paragraph" w:styleId="a4">
    <w:name w:val="header"/>
    <w:basedOn w:val="a"/>
    <w:link w:val="a5"/>
    <w:uiPriority w:val="99"/>
    <w:unhideWhenUsed/>
    <w:rsid w:val="00014C0F"/>
    <w:pPr>
      <w:tabs>
        <w:tab w:val="center" w:pos="4153"/>
        <w:tab w:val="right" w:pos="8306"/>
      </w:tabs>
      <w:snapToGrid w:val="0"/>
    </w:pPr>
    <w:rPr>
      <w:sz w:val="20"/>
      <w:szCs w:val="20"/>
    </w:rPr>
  </w:style>
  <w:style w:type="character" w:customStyle="1" w:styleId="a5">
    <w:name w:val="頁首 字元"/>
    <w:basedOn w:val="a0"/>
    <w:link w:val="a4"/>
    <w:uiPriority w:val="99"/>
    <w:rsid w:val="00014C0F"/>
    <w:rPr>
      <w:sz w:val="20"/>
      <w:szCs w:val="20"/>
    </w:rPr>
  </w:style>
  <w:style w:type="paragraph" w:styleId="a6">
    <w:name w:val="footer"/>
    <w:basedOn w:val="a"/>
    <w:link w:val="a7"/>
    <w:uiPriority w:val="99"/>
    <w:unhideWhenUsed/>
    <w:rsid w:val="00014C0F"/>
    <w:pPr>
      <w:tabs>
        <w:tab w:val="center" w:pos="4153"/>
        <w:tab w:val="right" w:pos="8306"/>
      </w:tabs>
      <w:snapToGrid w:val="0"/>
    </w:pPr>
    <w:rPr>
      <w:sz w:val="20"/>
      <w:szCs w:val="20"/>
    </w:rPr>
  </w:style>
  <w:style w:type="character" w:customStyle="1" w:styleId="a7">
    <w:name w:val="頁尾 字元"/>
    <w:basedOn w:val="a0"/>
    <w:link w:val="a6"/>
    <w:uiPriority w:val="99"/>
    <w:rsid w:val="00014C0F"/>
    <w:rPr>
      <w:sz w:val="20"/>
      <w:szCs w:val="20"/>
    </w:rPr>
  </w:style>
  <w:style w:type="paragraph" w:styleId="a8">
    <w:name w:val="Date"/>
    <w:basedOn w:val="a"/>
    <w:next w:val="a"/>
    <w:link w:val="a9"/>
    <w:uiPriority w:val="99"/>
    <w:semiHidden/>
    <w:unhideWhenUsed/>
    <w:rsid w:val="00014C0F"/>
    <w:pPr>
      <w:jc w:val="right"/>
    </w:pPr>
  </w:style>
  <w:style w:type="character" w:customStyle="1" w:styleId="a9">
    <w:name w:val="日期 字元"/>
    <w:basedOn w:val="a0"/>
    <w:link w:val="a8"/>
    <w:uiPriority w:val="99"/>
    <w:semiHidden/>
    <w:rsid w:val="00014C0F"/>
  </w:style>
  <w:style w:type="paragraph" w:styleId="aa">
    <w:name w:val="Balloon Text"/>
    <w:basedOn w:val="a"/>
    <w:link w:val="ab"/>
    <w:uiPriority w:val="99"/>
    <w:semiHidden/>
    <w:unhideWhenUsed/>
    <w:rsid w:val="00654DA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54DA5"/>
    <w:rPr>
      <w:rFonts w:asciiTheme="majorHAnsi" w:eastAsiaTheme="majorEastAsia" w:hAnsiTheme="majorHAnsi" w:cstheme="majorBidi"/>
      <w:sz w:val="18"/>
      <w:szCs w:val="18"/>
    </w:rPr>
  </w:style>
  <w:style w:type="character" w:customStyle="1" w:styleId="st1">
    <w:name w:val="st1"/>
    <w:basedOn w:val="a0"/>
    <w:rsid w:val="007D4609"/>
  </w:style>
  <w:style w:type="paragraph" w:customStyle="1" w:styleId="Default">
    <w:name w:val="Default"/>
    <w:rsid w:val="00132AC4"/>
    <w:pPr>
      <w:widowControl w:val="0"/>
      <w:autoSpaceDE w:val="0"/>
      <w:autoSpaceDN w:val="0"/>
      <w:adjustRightInd w:val="0"/>
    </w:pPr>
    <w:rPr>
      <w:rFonts w:ascii="Times New Roman"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E0BD5-EA8F-4BC4-9A74-4FD76FCBF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135</Words>
  <Characters>773</Characters>
  <Application>Microsoft Office Word</Application>
  <DocSecurity>0</DocSecurity>
  <Lines>6</Lines>
  <Paragraphs>1</Paragraphs>
  <ScaleCrop>false</ScaleCrop>
  <Company>Hewlett-Packard Company</Company>
  <LinksUpToDate>false</LinksUpToDate>
  <CharactersWithSpaces>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魏欣怡</dc:creator>
  <cp:keywords/>
  <dc:description/>
  <cp:lastModifiedBy>劉蕙菁</cp:lastModifiedBy>
  <cp:revision>2</cp:revision>
  <cp:lastPrinted>2016-06-29T00:54:00Z</cp:lastPrinted>
  <dcterms:created xsi:type="dcterms:W3CDTF">2016-08-08T09:46:00Z</dcterms:created>
  <dcterms:modified xsi:type="dcterms:W3CDTF">2016-08-08T09:46:00Z</dcterms:modified>
</cp:coreProperties>
</file>